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4F" w:rsidRDefault="009305C3" w:rsidP="002C59EB">
      <w:pPr>
        <w:pStyle w:val="NoSpacing"/>
        <w:rPr>
          <w:b/>
          <w:sz w:val="32"/>
        </w:rPr>
      </w:pPr>
      <w:r>
        <w:rPr>
          <w:b/>
          <w:sz w:val="32"/>
        </w:rPr>
        <w:t>P</w:t>
      </w:r>
      <w:r w:rsidR="002C59EB" w:rsidRPr="002C59EB">
        <w:rPr>
          <w:b/>
          <w:sz w:val="32"/>
        </w:rPr>
        <w:t>rolonged unconsciousness after anaesthesia</w:t>
      </w:r>
    </w:p>
    <w:p w:rsidR="009305C3" w:rsidRDefault="009305C3" w:rsidP="009305C3">
      <w:pPr>
        <w:pStyle w:val="NoSpacing"/>
        <w:jc w:val="both"/>
        <w:rPr>
          <w:b/>
          <w:sz w:val="20"/>
          <w:szCs w:val="20"/>
        </w:rPr>
      </w:pPr>
    </w:p>
    <w:p w:rsidR="009305C3" w:rsidRPr="009305C3" w:rsidRDefault="009305C3" w:rsidP="009305C3">
      <w:pPr>
        <w:pStyle w:val="NoSpacing"/>
        <w:jc w:val="both"/>
        <w:rPr>
          <w:b/>
          <w:sz w:val="20"/>
          <w:szCs w:val="20"/>
        </w:rPr>
      </w:pPr>
      <w:r w:rsidRPr="009305C3">
        <w:rPr>
          <w:b/>
          <w:sz w:val="24"/>
          <w:szCs w:val="20"/>
        </w:rPr>
        <w:t xml:space="preserve">Dr. </w:t>
      </w:r>
      <w:proofErr w:type="spellStart"/>
      <w:r w:rsidRPr="009305C3">
        <w:rPr>
          <w:b/>
          <w:sz w:val="24"/>
          <w:szCs w:val="20"/>
        </w:rPr>
        <w:t>Kannan</w:t>
      </w:r>
      <w:proofErr w:type="spellEnd"/>
      <w:r w:rsidRPr="009305C3">
        <w:rPr>
          <w:b/>
          <w:sz w:val="24"/>
          <w:szCs w:val="20"/>
        </w:rPr>
        <w:t xml:space="preserve"> </w:t>
      </w:r>
      <w:proofErr w:type="spellStart"/>
      <w:r w:rsidRPr="009305C3">
        <w:rPr>
          <w:b/>
          <w:sz w:val="24"/>
          <w:szCs w:val="20"/>
        </w:rPr>
        <w:t>Bojaraaj</w:t>
      </w:r>
      <w:proofErr w:type="spellEnd"/>
      <w:r w:rsidRPr="009305C3">
        <w:rPr>
          <w:b/>
          <w:sz w:val="24"/>
          <w:szCs w:val="20"/>
        </w:rPr>
        <w:t>, MD., DA.</w:t>
      </w:r>
      <w:r w:rsidRPr="009305C3">
        <w:rPr>
          <w:b/>
          <w:sz w:val="20"/>
          <w:szCs w:val="20"/>
        </w:rPr>
        <w:t>, Associate Prof. of Anaesthesia, Govt. Thoothukudi Medical College, Thoothukudi</w:t>
      </w:r>
    </w:p>
    <w:p w:rsidR="002C59EB" w:rsidRDefault="002C59EB" w:rsidP="002C59EB">
      <w:pPr>
        <w:pStyle w:val="NoSpacing"/>
      </w:pPr>
    </w:p>
    <w:p w:rsidR="0017450A" w:rsidRPr="0017450A" w:rsidRDefault="0017450A" w:rsidP="002C59EB">
      <w:pPr>
        <w:pStyle w:val="NoSpacing"/>
        <w:rPr>
          <w:b/>
        </w:rPr>
      </w:pPr>
      <w:r w:rsidRPr="0017450A">
        <w:rPr>
          <w:b/>
        </w:rPr>
        <w:t>Introduction</w:t>
      </w:r>
    </w:p>
    <w:p w:rsidR="0017450A" w:rsidRDefault="0017450A" w:rsidP="002C59EB">
      <w:pPr>
        <w:pStyle w:val="NoSpacing"/>
      </w:pPr>
    </w:p>
    <w:p w:rsidR="0017450A" w:rsidRDefault="0017450A" w:rsidP="001F33FB">
      <w:pPr>
        <w:pStyle w:val="NoSpacing"/>
        <w:jc w:val="both"/>
      </w:pPr>
      <w:r>
        <w:t>Consciousness implies “awake and aware of surroundings and i</w:t>
      </w:r>
      <w:r w:rsidR="008705F2">
        <w:t>dentity” according to the Oxford</w:t>
      </w:r>
      <w:r>
        <w:t xml:space="preserve"> English Dictionary.  </w:t>
      </w:r>
      <w:r w:rsidR="001F33FB">
        <w:t>But consciousness is a continuum with varying depths.  Coma, from the Greek, means a state of sleep and is defined medically as “a state of unresponsiveness from which the patient cannot be aroused”.  Although the Glasgow Coma Scale was originally developed as a means to assess prognosis after head trauma, it has a</w:t>
      </w:r>
      <w:r w:rsidR="008705F2">
        <w:t>ls</w:t>
      </w:r>
      <w:r w:rsidR="001F33FB">
        <w:t>o been used to trend the level of consciousness although inconsistencies may occur</w:t>
      </w:r>
      <w:r w:rsidR="0031672B">
        <w:rPr>
          <w:vertAlign w:val="superscript"/>
        </w:rPr>
        <w:t>1</w:t>
      </w:r>
      <w:r w:rsidR="001F33FB">
        <w:t xml:space="preserve">.  Other scores have been developed including the </w:t>
      </w:r>
      <w:proofErr w:type="spellStart"/>
      <w:r w:rsidR="001F33FB">
        <w:t>Aldrete</w:t>
      </w:r>
      <w:proofErr w:type="spellEnd"/>
      <w:r w:rsidR="001F33FB">
        <w:t xml:space="preserve"> Score and the Postoperative Quality Recovery Scale (PQRS</w:t>
      </w:r>
      <w:proofErr w:type="gramStart"/>
      <w:r w:rsidR="001F33FB">
        <w:t>)</w:t>
      </w:r>
      <w:r w:rsidR="00EC5705">
        <w:rPr>
          <w:vertAlign w:val="superscript"/>
        </w:rPr>
        <w:t>2</w:t>
      </w:r>
      <w:proofErr w:type="gramEnd"/>
      <w:r w:rsidR="001F33FB">
        <w:t xml:space="preserve">.  Recognizing that recovery from anaesthesia and possible long term effects of the </w:t>
      </w:r>
      <w:proofErr w:type="spellStart"/>
      <w:r w:rsidR="001F33FB">
        <w:t>perioperative</w:t>
      </w:r>
      <w:proofErr w:type="spellEnd"/>
      <w:r w:rsidR="001F33FB">
        <w:t xml:space="preserve"> experience are complex issues,</w:t>
      </w:r>
      <w:r w:rsidR="008705F2">
        <w:t xml:space="preserve"> this latter scale tracks multip</w:t>
      </w:r>
      <w:r w:rsidR="001F33FB">
        <w:t>le domains of recovery from immediate to long-term periods in patients of different ages, languages and cultures.</w:t>
      </w:r>
    </w:p>
    <w:p w:rsidR="0017450A" w:rsidRDefault="0017450A" w:rsidP="002C59EB">
      <w:pPr>
        <w:pStyle w:val="NoSpacing"/>
      </w:pPr>
    </w:p>
    <w:p w:rsidR="002C59EB" w:rsidRDefault="002C59EB" w:rsidP="00892E16">
      <w:pPr>
        <w:pStyle w:val="NoSpacing"/>
        <w:rPr>
          <w:sz w:val="24"/>
        </w:rPr>
      </w:pPr>
      <w:r>
        <w:rPr>
          <w:sz w:val="24"/>
        </w:rPr>
        <w:t xml:space="preserve">The causes of prolonged unconsciousness after anaesthesia are summarized in Table I.  The time taken to emerge to full consciousness is affected by patient factors, anaesthetic factors, duration of surgery and painful stimulation.  Non-pharmacological causes may have serious </w:t>
      </w:r>
      <w:proofErr w:type="spellStart"/>
      <w:r>
        <w:rPr>
          <w:sz w:val="24"/>
        </w:rPr>
        <w:t>sequelae</w:t>
      </w:r>
      <w:proofErr w:type="spellEnd"/>
      <w:r>
        <w:rPr>
          <w:sz w:val="24"/>
        </w:rPr>
        <w:t>; thus, recognizing these organic conditions is important.</w:t>
      </w:r>
    </w:p>
    <w:p w:rsidR="002C59EB" w:rsidRDefault="002C59EB" w:rsidP="002C59EB">
      <w:pPr>
        <w:pStyle w:val="NoSpacing"/>
        <w:jc w:val="both"/>
        <w:rPr>
          <w:sz w:val="24"/>
        </w:rPr>
      </w:pPr>
    </w:p>
    <w:p w:rsidR="002C59EB" w:rsidRPr="00FF5F69" w:rsidRDefault="002C59EB" w:rsidP="002C59EB">
      <w:pPr>
        <w:pStyle w:val="NoSpacing"/>
        <w:jc w:val="both"/>
        <w:rPr>
          <w:b/>
          <w:sz w:val="36"/>
          <w:szCs w:val="36"/>
        </w:rPr>
      </w:pPr>
      <w:r w:rsidRPr="00FF5F69">
        <w:rPr>
          <w:b/>
          <w:sz w:val="36"/>
          <w:szCs w:val="36"/>
        </w:rPr>
        <w:t>Pharmacological</w:t>
      </w:r>
    </w:p>
    <w:p w:rsidR="002C59EB" w:rsidRDefault="002C59EB" w:rsidP="002C59EB">
      <w:pPr>
        <w:pStyle w:val="NoSpacing"/>
        <w:jc w:val="both"/>
        <w:rPr>
          <w:sz w:val="24"/>
        </w:rPr>
      </w:pPr>
    </w:p>
    <w:p w:rsidR="002C59EB" w:rsidRDefault="002C59EB" w:rsidP="00FF5F69">
      <w:pPr>
        <w:pStyle w:val="NoSpacing"/>
        <w:ind w:firstLine="720"/>
        <w:jc w:val="both"/>
        <w:rPr>
          <w:sz w:val="24"/>
        </w:rPr>
      </w:pPr>
      <w:r>
        <w:rPr>
          <w:sz w:val="24"/>
        </w:rPr>
        <w:t>The residual effects of a drug (after administration has ceased) are influenced by a number of factors, as outlined in Table 1.  With so many variables, it is not surprising that administration of an ideal dose to one patient can have a very different effect on an apparently similar patient.</w:t>
      </w:r>
    </w:p>
    <w:p w:rsidR="002C59EB" w:rsidRDefault="002C59EB" w:rsidP="002C59EB">
      <w:pPr>
        <w:pStyle w:val="NoSpacing"/>
        <w:jc w:val="both"/>
        <w:rPr>
          <w:sz w:val="24"/>
        </w:rPr>
      </w:pPr>
    </w:p>
    <w:p w:rsidR="002C59EB" w:rsidRPr="002C59EB" w:rsidRDefault="002C59EB" w:rsidP="002C59EB">
      <w:pPr>
        <w:pStyle w:val="NoSpacing"/>
        <w:jc w:val="both"/>
        <w:rPr>
          <w:b/>
          <w:sz w:val="24"/>
        </w:rPr>
      </w:pPr>
      <w:r w:rsidRPr="002C59EB">
        <w:rPr>
          <w:b/>
          <w:sz w:val="24"/>
        </w:rPr>
        <w:t>Benzodi</w:t>
      </w:r>
      <w:r>
        <w:rPr>
          <w:b/>
          <w:sz w:val="24"/>
        </w:rPr>
        <w:t>a</w:t>
      </w:r>
      <w:r w:rsidRPr="002C59EB">
        <w:rPr>
          <w:b/>
          <w:sz w:val="24"/>
        </w:rPr>
        <w:t>z</w:t>
      </w:r>
      <w:r>
        <w:rPr>
          <w:b/>
          <w:sz w:val="24"/>
        </w:rPr>
        <w:t>e</w:t>
      </w:r>
      <w:r w:rsidRPr="002C59EB">
        <w:rPr>
          <w:b/>
          <w:sz w:val="24"/>
        </w:rPr>
        <w:t>pines</w:t>
      </w:r>
    </w:p>
    <w:p w:rsidR="002C59EB" w:rsidRDefault="002C59EB" w:rsidP="002C59EB">
      <w:pPr>
        <w:pStyle w:val="NoSpacing"/>
        <w:jc w:val="both"/>
        <w:rPr>
          <w:sz w:val="24"/>
        </w:rPr>
      </w:pPr>
    </w:p>
    <w:p w:rsidR="002C59EB" w:rsidRDefault="002C59EB" w:rsidP="00FF5F69">
      <w:pPr>
        <w:pStyle w:val="NoSpacing"/>
        <w:ind w:firstLine="720"/>
        <w:jc w:val="both"/>
        <w:rPr>
          <w:sz w:val="24"/>
        </w:rPr>
      </w:pPr>
      <w:r>
        <w:rPr>
          <w:sz w:val="24"/>
        </w:rPr>
        <w:t>Benzodiazepines are used for an</w:t>
      </w:r>
      <w:r w:rsidR="001276E1">
        <w:rPr>
          <w:sz w:val="24"/>
        </w:rPr>
        <w:t>x</w:t>
      </w:r>
      <w:r>
        <w:rPr>
          <w:sz w:val="24"/>
        </w:rPr>
        <w:t xml:space="preserve">iolysis and pre-medication; co-induction facilities the hypnotic and sedative properties of other agents.  Used alone, benzodiazepines are unlikely to cause prolonged unconsciousness except in susceptible, elderly patients or when given in overdose. However, central nervous system (CNS) depression can prolong the effects of other anaesthetic agents.  Benzodiazepines combined with high-dose </w:t>
      </w:r>
      <w:proofErr w:type="spellStart"/>
      <w:r>
        <w:rPr>
          <w:sz w:val="24"/>
        </w:rPr>
        <w:t>opioids</w:t>
      </w:r>
      <w:proofErr w:type="spellEnd"/>
      <w:r>
        <w:rPr>
          <w:sz w:val="24"/>
        </w:rPr>
        <w:t xml:space="preserve"> can have a pronounced effect on respiratory depression, producing </w:t>
      </w:r>
      <w:proofErr w:type="spellStart"/>
      <w:r>
        <w:rPr>
          <w:sz w:val="24"/>
        </w:rPr>
        <w:t>hypercapnia</w:t>
      </w:r>
      <w:proofErr w:type="spellEnd"/>
      <w:r>
        <w:rPr>
          <w:sz w:val="24"/>
        </w:rPr>
        <w:t xml:space="preserve"> and coma.  </w:t>
      </w:r>
      <w:proofErr w:type="spellStart"/>
      <w:r>
        <w:rPr>
          <w:sz w:val="24"/>
        </w:rPr>
        <w:t>Midazolam</w:t>
      </w:r>
      <w:proofErr w:type="spellEnd"/>
      <w:r>
        <w:rPr>
          <w:sz w:val="24"/>
        </w:rPr>
        <w:t xml:space="preserve"> is metabolized by the same P450 </w:t>
      </w:r>
      <w:proofErr w:type="spellStart"/>
      <w:r>
        <w:rPr>
          <w:sz w:val="24"/>
        </w:rPr>
        <w:t>iso</w:t>
      </w:r>
      <w:proofErr w:type="spellEnd"/>
      <w:r>
        <w:rPr>
          <w:sz w:val="24"/>
        </w:rPr>
        <w:t xml:space="preserve">-enzyme as </w:t>
      </w:r>
      <w:proofErr w:type="spellStart"/>
      <w:r>
        <w:rPr>
          <w:sz w:val="24"/>
        </w:rPr>
        <w:t>alfentanil</w:t>
      </w:r>
      <w:proofErr w:type="spellEnd"/>
      <w:r>
        <w:rPr>
          <w:sz w:val="24"/>
        </w:rPr>
        <w:t>, such that co-administration prolongs the actions of both drugs.</w:t>
      </w:r>
    </w:p>
    <w:p w:rsidR="005620A8" w:rsidRDefault="005620A8" w:rsidP="002C59EB">
      <w:pPr>
        <w:pStyle w:val="NoSpacing"/>
        <w:jc w:val="both"/>
        <w:rPr>
          <w:sz w:val="24"/>
        </w:rPr>
      </w:pPr>
    </w:p>
    <w:p w:rsidR="005620A8" w:rsidRPr="005620A8" w:rsidRDefault="005620A8" w:rsidP="002C59EB">
      <w:pPr>
        <w:pStyle w:val="NoSpacing"/>
        <w:jc w:val="both"/>
        <w:rPr>
          <w:b/>
          <w:sz w:val="24"/>
        </w:rPr>
      </w:pPr>
      <w:proofErr w:type="spellStart"/>
      <w:r w:rsidRPr="005620A8">
        <w:rPr>
          <w:b/>
          <w:sz w:val="24"/>
        </w:rPr>
        <w:t>Opioids</w:t>
      </w:r>
      <w:proofErr w:type="spellEnd"/>
      <w:r w:rsidRPr="005620A8">
        <w:rPr>
          <w:b/>
          <w:sz w:val="24"/>
        </w:rPr>
        <w:t xml:space="preserve"> </w:t>
      </w:r>
    </w:p>
    <w:p w:rsidR="002C59EB" w:rsidRDefault="002C59EB" w:rsidP="002C59EB">
      <w:pPr>
        <w:pStyle w:val="NoSpacing"/>
        <w:jc w:val="both"/>
        <w:rPr>
          <w:sz w:val="24"/>
        </w:rPr>
      </w:pPr>
    </w:p>
    <w:p w:rsidR="002C59EB" w:rsidRDefault="00DE6E0E" w:rsidP="002C59EB">
      <w:pPr>
        <w:pStyle w:val="NoSpacing"/>
        <w:jc w:val="both"/>
        <w:rPr>
          <w:sz w:val="24"/>
        </w:rPr>
      </w:pPr>
      <w:proofErr w:type="spellStart"/>
      <w:r>
        <w:rPr>
          <w:sz w:val="24"/>
        </w:rPr>
        <w:t>Opioids</w:t>
      </w:r>
      <w:proofErr w:type="spellEnd"/>
      <w:r>
        <w:rPr>
          <w:sz w:val="24"/>
        </w:rPr>
        <w:t xml:space="preserve"> produce analgesia, sedation and respiratory depression; the intensity of each action varies between subjects and can be difficult to pre</w:t>
      </w:r>
      <w:r w:rsidR="00FF5F69">
        <w:rPr>
          <w:sz w:val="24"/>
        </w:rPr>
        <w:t>dict.  As noted previously, dos</w:t>
      </w:r>
      <w:r w:rsidR="00FF5F69">
        <w:rPr>
          <w:b/>
          <w:sz w:val="24"/>
        </w:rPr>
        <w:t>e</w:t>
      </w:r>
      <w:r>
        <w:rPr>
          <w:sz w:val="24"/>
        </w:rPr>
        <w:t xml:space="preserve">-response is affected by co-administered sedatives and analgesia and by patient factors.  There are two major mechanisms resulting in coma; respiratory depression and direct sedation via </w:t>
      </w:r>
      <w:proofErr w:type="spellStart"/>
      <w:r>
        <w:rPr>
          <w:sz w:val="24"/>
        </w:rPr>
        <w:t>opioid</w:t>
      </w:r>
      <w:proofErr w:type="spellEnd"/>
      <w:r>
        <w:rPr>
          <w:sz w:val="24"/>
        </w:rPr>
        <w:t xml:space="preserve"> receptors. The sensitivity of the brainstem </w:t>
      </w:r>
      <w:proofErr w:type="spellStart"/>
      <w:r>
        <w:rPr>
          <w:sz w:val="24"/>
        </w:rPr>
        <w:t>chemoreceptors</w:t>
      </w:r>
      <w:proofErr w:type="spellEnd"/>
      <w:r>
        <w:rPr>
          <w:sz w:val="24"/>
        </w:rPr>
        <w:t xml:space="preserve"> to carbon dioxide is </w:t>
      </w:r>
      <w:r>
        <w:rPr>
          <w:sz w:val="24"/>
        </w:rPr>
        <w:lastRenderedPageBreak/>
        <w:t xml:space="preserve">reduced by </w:t>
      </w:r>
      <w:proofErr w:type="spellStart"/>
      <w:r>
        <w:rPr>
          <w:sz w:val="24"/>
        </w:rPr>
        <w:t>opioids</w:t>
      </w:r>
      <w:proofErr w:type="spellEnd"/>
      <w:r>
        <w:rPr>
          <w:sz w:val="24"/>
        </w:rPr>
        <w:t xml:space="preserve"> with consequent dose-dependent respiratory depression and resultant </w:t>
      </w:r>
      <w:proofErr w:type="spellStart"/>
      <w:r>
        <w:rPr>
          <w:sz w:val="24"/>
        </w:rPr>
        <w:t>hypercapnia</w:t>
      </w:r>
      <w:proofErr w:type="spellEnd"/>
      <w:r>
        <w:rPr>
          <w:sz w:val="24"/>
        </w:rPr>
        <w:t xml:space="preserve">.  This may affect clearance of volatile agents and carbon dioxide; both can cause unconsciousness.  The direct </w:t>
      </w:r>
      <w:proofErr w:type="spellStart"/>
      <w:r>
        <w:rPr>
          <w:sz w:val="24"/>
        </w:rPr>
        <w:t>opioid</w:t>
      </w:r>
      <w:proofErr w:type="spellEnd"/>
      <w:r>
        <w:rPr>
          <w:sz w:val="24"/>
        </w:rPr>
        <w:t xml:space="preserve"> receptor effect varies with drug potency, half-life, metabolism and patient sensitivity.  Active metabolites of morphine and </w:t>
      </w:r>
      <w:proofErr w:type="spellStart"/>
      <w:r>
        <w:rPr>
          <w:sz w:val="24"/>
        </w:rPr>
        <w:t>meperidine</w:t>
      </w:r>
      <w:proofErr w:type="spellEnd"/>
      <w:r>
        <w:rPr>
          <w:sz w:val="24"/>
        </w:rPr>
        <w:t xml:space="preserve"> (</w:t>
      </w:r>
      <w:proofErr w:type="spellStart"/>
      <w:r>
        <w:rPr>
          <w:sz w:val="24"/>
        </w:rPr>
        <w:t>pethidine</w:t>
      </w:r>
      <w:proofErr w:type="spellEnd"/>
      <w:r>
        <w:rPr>
          <w:sz w:val="24"/>
        </w:rPr>
        <w:t>) prolong the duration of action, especially in the presence of renal failure.</w:t>
      </w:r>
    </w:p>
    <w:p w:rsidR="00DE6E0E" w:rsidRDefault="00DE6E0E" w:rsidP="002C59EB">
      <w:pPr>
        <w:pStyle w:val="NoSpacing"/>
        <w:jc w:val="both"/>
        <w:rPr>
          <w:sz w:val="24"/>
        </w:rPr>
      </w:pPr>
    </w:p>
    <w:p w:rsidR="00DE6E0E" w:rsidRPr="00DE6E0E" w:rsidRDefault="00DE6E0E" w:rsidP="002C59EB">
      <w:pPr>
        <w:pStyle w:val="NoSpacing"/>
        <w:jc w:val="both"/>
        <w:rPr>
          <w:b/>
          <w:sz w:val="24"/>
        </w:rPr>
      </w:pPr>
      <w:r w:rsidRPr="00DE6E0E">
        <w:rPr>
          <w:b/>
          <w:sz w:val="24"/>
        </w:rPr>
        <w:t>Neuromuscular block</w:t>
      </w:r>
    </w:p>
    <w:p w:rsidR="00DE6E0E" w:rsidRDefault="00DE6E0E" w:rsidP="002C59EB">
      <w:pPr>
        <w:pStyle w:val="NoSpacing"/>
        <w:jc w:val="both"/>
        <w:rPr>
          <w:sz w:val="24"/>
        </w:rPr>
      </w:pPr>
    </w:p>
    <w:p w:rsidR="00883AF8" w:rsidRDefault="00883AF8" w:rsidP="00883AF8">
      <w:pPr>
        <w:pStyle w:val="NoSpacing"/>
        <w:jc w:val="both"/>
        <w:rPr>
          <w:sz w:val="24"/>
        </w:rPr>
      </w:pPr>
      <w:r w:rsidRPr="00883AF8">
        <w:rPr>
          <w:sz w:val="24"/>
        </w:rPr>
        <w:t>Neuromuscular block</w:t>
      </w:r>
      <w:r>
        <w:rPr>
          <w:sz w:val="24"/>
        </w:rPr>
        <w:t xml:space="preserve"> in</w:t>
      </w:r>
      <w:r w:rsidR="001276E1">
        <w:rPr>
          <w:sz w:val="24"/>
        </w:rPr>
        <w:t xml:space="preserve"> the conscious patient can mimic</w:t>
      </w:r>
      <w:r>
        <w:rPr>
          <w:sz w:val="24"/>
        </w:rPr>
        <w:t xml:space="preserve"> unconsciousness.  In addition, </w:t>
      </w:r>
      <w:proofErr w:type="spellStart"/>
      <w:r>
        <w:rPr>
          <w:sz w:val="24"/>
        </w:rPr>
        <w:t>neurosmuscular</w:t>
      </w:r>
      <w:proofErr w:type="spellEnd"/>
      <w:r>
        <w:rPr>
          <w:sz w:val="24"/>
        </w:rPr>
        <w:t xml:space="preserve"> blockers may result in prolonged unconsciousness after operati</w:t>
      </w:r>
      <w:r w:rsidR="001276E1">
        <w:rPr>
          <w:sz w:val="24"/>
        </w:rPr>
        <w:t>on if a residual block causes hy</w:t>
      </w:r>
      <w:r>
        <w:rPr>
          <w:sz w:val="24"/>
        </w:rPr>
        <w:t>poventilation.</w:t>
      </w:r>
      <w:r w:rsidR="004351C1">
        <w:rPr>
          <w:sz w:val="24"/>
        </w:rPr>
        <w:t xml:space="preserve">  A large number of pharmacological interactions with neuromuscular blocking agents prolong neuromuscular block.  The majority of drug interactions with non-depo</w:t>
      </w:r>
      <w:r w:rsidR="00046F56">
        <w:rPr>
          <w:sz w:val="24"/>
        </w:rPr>
        <w:t xml:space="preserve">larzing neuromuscular blocking agents prolong blockade by interfering with calcium, the second messenger involved in acetylcholine </w:t>
      </w:r>
    </w:p>
    <w:p w:rsidR="004B6799" w:rsidRDefault="004B6799" w:rsidP="00883AF8">
      <w:pPr>
        <w:pStyle w:val="NoSpacing"/>
        <w:jc w:val="both"/>
        <w:rPr>
          <w:sz w:val="24"/>
        </w:rPr>
      </w:pPr>
    </w:p>
    <w:p w:rsidR="004B6799" w:rsidRDefault="004B6799" w:rsidP="00883AF8">
      <w:pPr>
        <w:pStyle w:val="NoSpacing"/>
        <w:jc w:val="both"/>
        <w:rPr>
          <w:sz w:val="24"/>
        </w:rPr>
      </w:pPr>
      <w:r>
        <w:rPr>
          <w:sz w:val="24"/>
        </w:rPr>
        <w:t>Table 1: Causes of prolonged unconsciousness after anaesthesia</w:t>
      </w:r>
    </w:p>
    <w:p w:rsidR="004B6799" w:rsidRDefault="004B6799" w:rsidP="00883AF8">
      <w:pPr>
        <w:pStyle w:val="NoSpacing"/>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1"/>
        <w:gridCol w:w="2350"/>
        <w:gridCol w:w="2384"/>
      </w:tblGrid>
      <w:tr w:rsidR="004B6799" w:rsidTr="00A0665F">
        <w:tc>
          <w:tcPr>
            <w:tcW w:w="9576" w:type="dxa"/>
            <w:gridSpan w:val="3"/>
            <w:tcBorders>
              <w:top w:val="single" w:sz="4" w:space="0" w:color="auto"/>
              <w:bottom w:val="single" w:sz="4" w:space="0" w:color="auto"/>
            </w:tcBorders>
          </w:tcPr>
          <w:p w:rsidR="004B6799" w:rsidRDefault="004B6799" w:rsidP="00883AF8">
            <w:pPr>
              <w:pStyle w:val="NoSpacing"/>
              <w:jc w:val="both"/>
              <w:rPr>
                <w:sz w:val="24"/>
              </w:rPr>
            </w:pPr>
            <w:r>
              <w:rPr>
                <w:sz w:val="24"/>
              </w:rPr>
              <w:t>Pharmacological Effects</w:t>
            </w:r>
          </w:p>
          <w:p w:rsidR="00A0665F" w:rsidRDefault="00A0665F" w:rsidP="00883AF8">
            <w:pPr>
              <w:pStyle w:val="NoSpacing"/>
              <w:jc w:val="both"/>
              <w:rPr>
                <w:sz w:val="24"/>
              </w:rPr>
            </w:pPr>
          </w:p>
        </w:tc>
      </w:tr>
      <w:tr w:rsidR="004B6799" w:rsidTr="00A0665F">
        <w:tc>
          <w:tcPr>
            <w:tcW w:w="4698" w:type="dxa"/>
            <w:tcBorders>
              <w:top w:val="single" w:sz="4" w:space="0" w:color="auto"/>
              <w:bottom w:val="single" w:sz="4" w:space="0" w:color="auto"/>
            </w:tcBorders>
          </w:tcPr>
          <w:p w:rsidR="004B6799" w:rsidRPr="00436458" w:rsidRDefault="004B6799" w:rsidP="00883AF8">
            <w:pPr>
              <w:pStyle w:val="NoSpacing"/>
              <w:jc w:val="both"/>
              <w:rPr>
                <w:b/>
                <w:sz w:val="24"/>
              </w:rPr>
            </w:pPr>
            <w:r w:rsidRPr="00436458">
              <w:rPr>
                <w:b/>
                <w:sz w:val="24"/>
              </w:rPr>
              <w:t>Drug Factors</w:t>
            </w:r>
          </w:p>
        </w:tc>
        <w:tc>
          <w:tcPr>
            <w:tcW w:w="2430" w:type="dxa"/>
            <w:tcBorders>
              <w:top w:val="single" w:sz="4" w:space="0" w:color="auto"/>
              <w:bottom w:val="single" w:sz="4" w:space="0" w:color="auto"/>
            </w:tcBorders>
          </w:tcPr>
          <w:p w:rsidR="004B6799" w:rsidRPr="00436458" w:rsidRDefault="004B6799" w:rsidP="00883AF8">
            <w:pPr>
              <w:pStyle w:val="NoSpacing"/>
              <w:jc w:val="both"/>
              <w:rPr>
                <w:b/>
                <w:sz w:val="24"/>
              </w:rPr>
            </w:pPr>
            <w:r w:rsidRPr="00436458">
              <w:rPr>
                <w:b/>
                <w:sz w:val="24"/>
              </w:rPr>
              <w:t>Patient Factors</w:t>
            </w:r>
          </w:p>
        </w:tc>
        <w:tc>
          <w:tcPr>
            <w:tcW w:w="2448" w:type="dxa"/>
            <w:tcBorders>
              <w:top w:val="single" w:sz="4" w:space="0" w:color="auto"/>
              <w:bottom w:val="single" w:sz="4" w:space="0" w:color="auto"/>
            </w:tcBorders>
          </w:tcPr>
          <w:p w:rsidR="004B6799" w:rsidRDefault="004B6799" w:rsidP="00883AF8">
            <w:pPr>
              <w:pStyle w:val="NoSpacing"/>
              <w:jc w:val="both"/>
              <w:rPr>
                <w:b/>
                <w:sz w:val="24"/>
              </w:rPr>
            </w:pPr>
            <w:r w:rsidRPr="00436458">
              <w:rPr>
                <w:b/>
                <w:sz w:val="24"/>
              </w:rPr>
              <w:t>Surgical Factors</w:t>
            </w:r>
          </w:p>
          <w:p w:rsidR="00A0665F" w:rsidRPr="00436458" w:rsidRDefault="00A0665F" w:rsidP="00883AF8">
            <w:pPr>
              <w:pStyle w:val="NoSpacing"/>
              <w:jc w:val="both"/>
              <w:rPr>
                <w:b/>
                <w:sz w:val="24"/>
              </w:rPr>
            </w:pPr>
          </w:p>
        </w:tc>
      </w:tr>
      <w:tr w:rsidR="004B6799" w:rsidTr="00A0665F">
        <w:tc>
          <w:tcPr>
            <w:tcW w:w="4698" w:type="dxa"/>
            <w:tcBorders>
              <w:top w:val="single" w:sz="4" w:space="0" w:color="auto"/>
            </w:tcBorders>
          </w:tcPr>
          <w:p w:rsidR="004B6799" w:rsidRDefault="004B6799" w:rsidP="00883AF8">
            <w:pPr>
              <w:pStyle w:val="NoSpacing"/>
              <w:jc w:val="both"/>
              <w:rPr>
                <w:sz w:val="24"/>
              </w:rPr>
            </w:pPr>
            <w:r>
              <w:rPr>
                <w:sz w:val="24"/>
              </w:rPr>
              <w:t>Dose</w:t>
            </w:r>
          </w:p>
        </w:tc>
        <w:tc>
          <w:tcPr>
            <w:tcW w:w="2430" w:type="dxa"/>
          </w:tcPr>
          <w:p w:rsidR="004B6799" w:rsidRDefault="00436458" w:rsidP="00883AF8">
            <w:pPr>
              <w:pStyle w:val="NoSpacing"/>
              <w:jc w:val="both"/>
              <w:rPr>
                <w:sz w:val="24"/>
              </w:rPr>
            </w:pPr>
            <w:r>
              <w:rPr>
                <w:sz w:val="24"/>
              </w:rPr>
              <w:t>Age (especially extremes)</w:t>
            </w:r>
          </w:p>
        </w:tc>
        <w:tc>
          <w:tcPr>
            <w:tcW w:w="2448" w:type="dxa"/>
          </w:tcPr>
          <w:p w:rsidR="004B6799" w:rsidRDefault="00436458" w:rsidP="00883AF8">
            <w:pPr>
              <w:pStyle w:val="NoSpacing"/>
              <w:jc w:val="both"/>
              <w:rPr>
                <w:sz w:val="24"/>
              </w:rPr>
            </w:pPr>
            <w:r>
              <w:rPr>
                <w:sz w:val="24"/>
              </w:rPr>
              <w:t>Requirement for muscle relaxation.</w:t>
            </w:r>
          </w:p>
        </w:tc>
      </w:tr>
      <w:tr w:rsidR="004B6799" w:rsidTr="00A0665F">
        <w:tc>
          <w:tcPr>
            <w:tcW w:w="4698" w:type="dxa"/>
          </w:tcPr>
          <w:p w:rsidR="004B6799" w:rsidRDefault="004B6799" w:rsidP="00883AF8">
            <w:pPr>
              <w:pStyle w:val="NoSpacing"/>
              <w:jc w:val="both"/>
              <w:rPr>
                <w:sz w:val="24"/>
              </w:rPr>
            </w:pPr>
            <w:r>
              <w:rPr>
                <w:sz w:val="24"/>
              </w:rPr>
              <w:t>Absorption</w:t>
            </w:r>
          </w:p>
        </w:tc>
        <w:tc>
          <w:tcPr>
            <w:tcW w:w="2430" w:type="dxa"/>
          </w:tcPr>
          <w:p w:rsidR="004B6799" w:rsidRDefault="00436458" w:rsidP="00883AF8">
            <w:pPr>
              <w:pStyle w:val="NoSpacing"/>
              <w:jc w:val="both"/>
              <w:rPr>
                <w:sz w:val="24"/>
              </w:rPr>
            </w:pPr>
            <w:r>
              <w:rPr>
                <w:sz w:val="24"/>
              </w:rPr>
              <w:t>Genetic variations</w:t>
            </w:r>
          </w:p>
        </w:tc>
        <w:tc>
          <w:tcPr>
            <w:tcW w:w="2448" w:type="dxa"/>
          </w:tcPr>
          <w:p w:rsidR="004B6799" w:rsidRDefault="00436458" w:rsidP="00883AF8">
            <w:pPr>
              <w:pStyle w:val="NoSpacing"/>
              <w:jc w:val="both"/>
              <w:rPr>
                <w:sz w:val="24"/>
              </w:rPr>
            </w:pPr>
            <w:r>
              <w:rPr>
                <w:sz w:val="24"/>
              </w:rPr>
              <w:t>Duration of surgery</w:t>
            </w:r>
          </w:p>
        </w:tc>
      </w:tr>
      <w:tr w:rsidR="004B6799" w:rsidTr="00A0665F">
        <w:tc>
          <w:tcPr>
            <w:tcW w:w="4698" w:type="dxa"/>
          </w:tcPr>
          <w:p w:rsidR="004B6799" w:rsidRDefault="00D55AC3" w:rsidP="00883AF8">
            <w:pPr>
              <w:pStyle w:val="NoSpacing"/>
              <w:jc w:val="both"/>
              <w:rPr>
                <w:sz w:val="24"/>
              </w:rPr>
            </w:pPr>
            <w:r>
              <w:rPr>
                <w:sz w:val="24"/>
              </w:rPr>
              <w:t>Di</w:t>
            </w:r>
            <w:r w:rsidR="004B6799">
              <w:rPr>
                <w:sz w:val="24"/>
              </w:rPr>
              <w:t>stribution</w:t>
            </w:r>
          </w:p>
        </w:tc>
        <w:tc>
          <w:tcPr>
            <w:tcW w:w="2430" w:type="dxa"/>
          </w:tcPr>
          <w:p w:rsidR="004B6799" w:rsidRDefault="00436458" w:rsidP="00883AF8">
            <w:pPr>
              <w:pStyle w:val="NoSpacing"/>
              <w:jc w:val="both"/>
              <w:rPr>
                <w:sz w:val="24"/>
              </w:rPr>
            </w:pPr>
            <w:r>
              <w:rPr>
                <w:sz w:val="24"/>
              </w:rPr>
              <w:t>D</w:t>
            </w:r>
            <w:r w:rsidR="00D55AC3">
              <w:rPr>
                <w:sz w:val="24"/>
              </w:rPr>
              <w:t>isease processes; renal, hepatic</w:t>
            </w:r>
            <w:r>
              <w:rPr>
                <w:sz w:val="24"/>
              </w:rPr>
              <w:t xml:space="preserve"> failure</w:t>
            </w:r>
          </w:p>
        </w:tc>
        <w:tc>
          <w:tcPr>
            <w:tcW w:w="2448" w:type="dxa"/>
          </w:tcPr>
          <w:p w:rsidR="004B6799" w:rsidRDefault="00436458" w:rsidP="00883AF8">
            <w:pPr>
              <w:pStyle w:val="NoSpacing"/>
              <w:jc w:val="both"/>
              <w:rPr>
                <w:sz w:val="24"/>
              </w:rPr>
            </w:pPr>
            <w:r>
              <w:rPr>
                <w:sz w:val="24"/>
              </w:rPr>
              <w:t>Utilization of regional techniques</w:t>
            </w:r>
          </w:p>
        </w:tc>
      </w:tr>
      <w:tr w:rsidR="004B6799" w:rsidTr="00A0665F">
        <w:tc>
          <w:tcPr>
            <w:tcW w:w="4698" w:type="dxa"/>
          </w:tcPr>
          <w:p w:rsidR="004B6799" w:rsidRDefault="004B6799" w:rsidP="00883AF8">
            <w:pPr>
              <w:pStyle w:val="NoSpacing"/>
              <w:jc w:val="both"/>
              <w:rPr>
                <w:sz w:val="24"/>
              </w:rPr>
            </w:pPr>
            <w:r>
              <w:rPr>
                <w:sz w:val="24"/>
              </w:rPr>
              <w:t>Metabolism</w:t>
            </w:r>
          </w:p>
        </w:tc>
        <w:tc>
          <w:tcPr>
            <w:tcW w:w="2430" w:type="dxa"/>
          </w:tcPr>
          <w:p w:rsidR="004B6799" w:rsidRDefault="004B6799" w:rsidP="00883AF8">
            <w:pPr>
              <w:pStyle w:val="NoSpacing"/>
              <w:jc w:val="both"/>
              <w:rPr>
                <w:sz w:val="24"/>
              </w:rPr>
            </w:pPr>
          </w:p>
        </w:tc>
        <w:tc>
          <w:tcPr>
            <w:tcW w:w="2448" w:type="dxa"/>
          </w:tcPr>
          <w:p w:rsidR="004B6799" w:rsidRDefault="00436458" w:rsidP="00883AF8">
            <w:pPr>
              <w:pStyle w:val="NoSpacing"/>
              <w:jc w:val="both"/>
              <w:rPr>
                <w:sz w:val="24"/>
              </w:rPr>
            </w:pPr>
            <w:r>
              <w:rPr>
                <w:sz w:val="24"/>
              </w:rPr>
              <w:t>Degree of pain / stimulation</w:t>
            </w:r>
          </w:p>
        </w:tc>
      </w:tr>
      <w:tr w:rsidR="004B6799" w:rsidTr="00A0665F">
        <w:tc>
          <w:tcPr>
            <w:tcW w:w="4698" w:type="dxa"/>
          </w:tcPr>
          <w:p w:rsidR="004B6799" w:rsidRDefault="004B6799" w:rsidP="00883AF8">
            <w:pPr>
              <w:pStyle w:val="NoSpacing"/>
              <w:jc w:val="both"/>
              <w:rPr>
                <w:sz w:val="24"/>
              </w:rPr>
            </w:pPr>
            <w:r>
              <w:rPr>
                <w:sz w:val="24"/>
              </w:rPr>
              <w:t>Excretion</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4B6799" w:rsidP="00883AF8">
            <w:pPr>
              <w:pStyle w:val="NoSpacing"/>
              <w:jc w:val="both"/>
              <w:rPr>
                <w:sz w:val="24"/>
              </w:rPr>
            </w:pPr>
            <w:r>
              <w:rPr>
                <w:sz w:val="24"/>
              </w:rPr>
              <w:t>Context-sensitive half-life</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4B6799" w:rsidP="00883AF8">
            <w:pPr>
              <w:pStyle w:val="NoSpacing"/>
              <w:jc w:val="both"/>
              <w:rPr>
                <w:sz w:val="24"/>
              </w:rPr>
            </w:pPr>
            <w:r>
              <w:rPr>
                <w:sz w:val="24"/>
              </w:rPr>
              <w:t>Pharmacodynmic interactions (summation, potentiation, synergism)</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4B6799" w:rsidP="00883AF8">
            <w:pPr>
              <w:pStyle w:val="NoSpacing"/>
              <w:jc w:val="both"/>
              <w:rPr>
                <w:sz w:val="24"/>
              </w:rPr>
            </w:pPr>
            <w:r>
              <w:rPr>
                <w:sz w:val="24"/>
              </w:rPr>
              <w:t>Pharmacokinetic interactions (distribution, metabolism, excretion)</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4B6799" w:rsidP="00883AF8">
            <w:pPr>
              <w:pStyle w:val="NoSpacing"/>
              <w:jc w:val="both"/>
              <w:rPr>
                <w:sz w:val="24"/>
              </w:rPr>
            </w:pPr>
            <w:r>
              <w:rPr>
                <w:sz w:val="24"/>
              </w:rPr>
              <w:t>Respiratory Failure</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4B6799" w:rsidP="00883AF8">
            <w:pPr>
              <w:pStyle w:val="NoSpacing"/>
              <w:jc w:val="both"/>
              <w:rPr>
                <w:sz w:val="24"/>
              </w:rPr>
            </w:pPr>
            <w:r>
              <w:rPr>
                <w:sz w:val="24"/>
              </w:rPr>
              <w:t>Central drive</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4B6799" w:rsidP="00883AF8">
            <w:pPr>
              <w:pStyle w:val="NoSpacing"/>
              <w:jc w:val="both"/>
              <w:rPr>
                <w:sz w:val="24"/>
              </w:rPr>
            </w:pPr>
            <w:r>
              <w:rPr>
                <w:sz w:val="24"/>
              </w:rPr>
              <w:t xml:space="preserve">Muscular / ventilator disorders </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4B6799" w:rsidP="00883AF8">
            <w:pPr>
              <w:pStyle w:val="NoSpacing"/>
              <w:jc w:val="both"/>
              <w:rPr>
                <w:sz w:val="24"/>
              </w:rPr>
            </w:pPr>
            <w:r>
              <w:rPr>
                <w:sz w:val="24"/>
              </w:rPr>
              <w:t>Pulmonary pathology</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4B6799" w:rsidP="00883AF8">
            <w:pPr>
              <w:pStyle w:val="NoSpacing"/>
              <w:jc w:val="both"/>
              <w:rPr>
                <w:sz w:val="24"/>
              </w:rPr>
            </w:pPr>
            <w:r>
              <w:rPr>
                <w:sz w:val="24"/>
              </w:rPr>
              <w:t>Neurological Causes</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4B6799" w:rsidP="00883AF8">
            <w:pPr>
              <w:pStyle w:val="NoSpacing"/>
              <w:jc w:val="both"/>
              <w:rPr>
                <w:sz w:val="24"/>
              </w:rPr>
            </w:pPr>
            <w:r>
              <w:rPr>
                <w:sz w:val="24"/>
              </w:rPr>
              <w:t>Intracerbral event</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4B6799" w:rsidP="00883AF8">
            <w:pPr>
              <w:pStyle w:val="NoSpacing"/>
              <w:jc w:val="both"/>
              <w:rPr>
                <w:sz w:val="24"/>
              </w:rPr>
            </w:pPr>
            <w:r>
              <w:rPr>
                <w:sz w:val="24"/>
              </w:rPr>
              <w:t>Seizures</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4B6799" w:rsidP="00883AF8">
            <w:pPr>
              <w:pStyle w:val="NoSpacing"/>
              <w:jc w:val="both"/>
              <w:rPr>
                <w:sz w:val="24"/>
              </w:rPr>
            </w:pPr>
            <w:r>
              <w:rPr>
                <w:sz w:val="24"/>
              </w:rPr>
              <w:t xml:space="preserve">Central Hypoxia </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4B6799" w:rsidP="00883AF8">
            <w:pPr>
              <w:pStyle w:val="NoSpacing"/>
              <w:jc w:val="both"/>
              <w:rPr>
                <w:sz w:val="24"/>
              </w:rPr>
            </w:pPr>
            <w:r>
              <w:rPr>
                <w:sz w:val="24"/>
              </w:rPr>
              <w:t>Central ischaemia</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4B6799" w:rsidP="00883AF8">
            <w:pPr>
              <w:pStyle w:val="NoSpacing"/>
              <w:jc w:val="both"/>
              <w:rPr>
                <w:sz w:val="24"/>
              </w:rPr>
            </w:pPr>
            <w:r>
              <w:rPr>
                <w:sz w:val="24"/>
              </w:rPr>
              <w:t>Local anaesthetic toxicity</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BB4F07" w:rsidP="00883AF8">
            <w:pPr>
              <w:pStyle w:val="NoSpacing"/>
              <w:jc w:val="both"/>
              <w:rPr>
                <w:sz w:val="24"/>
              </w:rPr>
            </w:pPr>
            <w:r>
              <w:rPr>
                <w:sz w:val="24"/>
              </w:rPr>
              <w:t>Metabolic Causes</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BB4F07" w:rsidP="00883AF8">
            <w:pPr>
              <w:pStyle w:val="NoSpacing"/>
              <w:jc w:val="both"/>
              <w:rPr>
                <w:sz w:val="24"/>
              </w:rPr>
            </w:pPr>
            <w:r>
              <w:rPr>
                <w:sz w:val="24"/>
              </w:rPr>
              <w:t>Hypoglycaemia</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BB4F07" w:rsidP="00BB4F07">
            <w:pPr>
              <w:pStyle w:val="NoSpacing"/>
              <w:jc w:val="both"/>
              <w:rPr>
                <w:sz w:val="24"/>
              </w:rPr>
            </w:pPr>
            <w:r>
              <w:rPr>
                <w:sz w:val="24"/>
              </w:rPr>
              <w:t xml:space="preserve">Hyperglycaemia </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BB4F07" w:rsidP="00883AF8">
            <w:pPr>
              <w:pStyle w:val="NoSpacing"/>
              <w:jc w:val="both"/>
              <w:rPr>
                <w:sz w:val="24"/>
              </w:rPr>
            </w:pPr>
            <w:r>
              <w:rPr>
                <w:sz w:val="24"/>
              </w:rPr>
              <w:lastRenderedPageBreak/>
              <w:t>Hyponatraemia</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4B6799" w:rsidTr="00A0665F">
        <w:tc>
          <w:tcPr>
            <w:tcW w:w="4698" w:type="dxa"/>
          </w:tcPr>
          <w:p w:rsidR="004B6799" w:rsidRDefault="00BB4F07" w:rsidP="00883AF8">
            <w:pPr>
              <w:pStyle w:val="NoSpacing"/>
              <w:jc w:val="both"/>
              <w:rPr>
                <w:sz w:val="24"/>
              </w:rPr>
            </w:pPr>
            <w:r>
              <w:rPr>
                <w:sz w:val="24"/>
              </w:rPr>
              <w:t>Hypernatraemia</w:t>
            </w:r>
          </w:p>
        </w:tc>
        <w:tc>
          <w:tcPr>
            <w:tcW w:w="2430" w:type="dxa"/>
          </w:tcPr>
          <w:p w:rsidR="004B6799" w:rsidRDefault="004B6799" w:rsidP="00883AF8">
            <w:pPr>
              <w:pStyle w:val="NoSpacing"/>
              <w:jc w:val="both"/>
              <w:rPr>
                <w:sz w:val="24"/>
              </w:rPr>
            </w:pPr>
          </w:p>
        </w:tc>
        <w:tc>
          <w:tcPr>
            <w:tcW w:w="2448" w:type="dxa"/>
          </w:tcPr>
          <w:p w:rsidR="004B6799" w:rsidRDefault="004B6799" w:rsidP="00883AF8">
            <w:pPr>
              <w:pStyle w:val="NoSpacing"/>
              <w:jc w:val="both"/>
              <w:rPr>
                <w:sz w:val="24"/>
              </w:rPr>
            </w:pPr>
          </w:p>
        </w:tc>
      </w:tr>
      <w:tr w:rsidR="00BB4F07" w:rsidTr="00A0665F">
        <w:tc>
          <w:tcPr>
            <w:tcW w:w="4698" w:type="dxa"/>
          </w:tcPr>
          <w:p w:rsidR="00BB4F07" w:rsidRDefault="00BB4F07" w:rsidP="00883AF8">
            <w:pPr>
              <w:pStyle w:val="NoSpacing"/>
              <w:jc w:val="both"/>
              <w:rPr>
                <w:sz w:val="24"/>
              </w:rPr>
            </w:pPr>
            <w:r>
              <w:rPr>
                <w:sz w:val="24"/>
              </w:rPr>
              <w:t>Hypothermia</w:t>
            </w:r>
          </w:p>
        </w:tc>
        <w:tc>
          <w:tcPr>
            <w:tcW w:w="2430" w:type="dxa"/>
          </w:tcPr>
          <w:p w:rsidR="00BB4F07" w:rsidRDefault="00BB4F07" w:rsidP="00883AF8">
            <w:pPr>
              <w:pStyle w:val="NoSpacing"/>
              <w:jc w:val="both"/>
              <w:rPr>
                <w:sz w:val="24"/>
              </w:rPr>
            </w:pPr>
          </w:p>
        </w:tc>
        <w:tc>
          <w:tcPr>
            <w:tcW w:w="2448" w:type="dxa"/>
          </w:tcPr>
          <w:p w:rsidR="00BB4F07" w:rsidRDefault="00BB4F07" w:rsidP="00883AF8">
            <w:pPr>
              <w:pStyle w:val="NoSpacing"/>
              <w:jc w:val="both"/>
              <w:rPr>
                <w:sz w:val="24"/>
              </w:rPr>
            </w:pPr>
          </w:p>
        </w:tc>
      </w:tr>
      <w:tr w:rsidR="00BB4F07" w:rsidTr="00A0665F">
        <w:tc>
          <w:tcPr>
            <w:tcW w:w="4698" w:type="dxa"/>
          </w:tcPr>
          <w:p w:rsidR="00BB4F07" w:rsidRDefault="00BB4F07" w:rsidP="00883AF8">
            <w:pPr>
              <w:pStyle w:val="NoSpacing"/>
              <w:jc w:val="both"/>
              <w:rPr>
                <w:sz w:val="24"/>
              </w:rPr>
            </w:pPr>
            <w:r>
              <w:rPr>
                <w:sz w:val="24"/>
              </w:rPr>
              <w:t>Central anticholinergic syndrome</w:t>
            </w:r>
          </w:p>
        </w:tc>
        <w:tc>
          <w:tcPr>
            <w:tcW w:w="2430" w:type="dxa"/>
          </w:tcPr>
          <w:p w:rsidR="00BB4F07" w:rsidRDefault="00BB4F07" w:rsidP="00883AF8">
            <w:pPr>
              <w:pStyle w:val="NoSpacing"/>
              <w:jc w:val="both"/>
              <w:rPr>
                <w:sz w:val="24"/>
              </w:rPr>
            </w:pPr>
          </w:p>
        </w:tc>
        <w:tc>
          <w:tcPr>
            <w:tcW w:w="2448" w:type="dxa"/>
          </w:tcPr>
          <w:p w:rsidR="00BB4F07" w:rsidRDefault="00BB4F07" w:rsidP="00883AF8">
            <w:pPr>
              <w:pStyle w:val="NoSpacing"/>
              <w:jc w:val="both"/>
              <w:rPr>
                <w:sz w:val="24"/>
              </w:rPr>
            </w:pPr>
          </w:p>
        </w:tc>
      </w:tr>
      <w:tr w:rsidR="00BB4F07" w:rsidTr="00A0665F">
        <w:tc>
          <w:tcPr>
            <w:tcW w:w="4698" w:type="dxa"/>
          </w:tcPr>
          <w:p w:rsidR="00BB4F07" w:rsidRDefault="00BB4F07" w:rsidP="00883AF8">
            <w:pPr>
              <w:pStyle w:val="NoSpacing"/>
              <w:jc w:val="both"/>
              <w:rPr>
                <w:sz w:val="24"/>
              </w:rPr>
            </w:pPr>
            <w:r>
              <w:rPr>
                <w:sz w:val="24"/>
              </w:rPr>
              <w:t>Hype</w:t>
            </w:r>
            <w:r w:rsidR="00D55AC3">
              <w:rPr>
                <w:sz w:val="24"/>
              </w:rPr>
              <w:t>r</w:t>
            </w:r>
            <w:r>
              <w:rPr>
                <w:sz w:val="24"/>
              </w:rPr>
              <w:t>thyroidism</w:t>
            </w:r>
          </w:p>
        </w:tc>
        <w:tc>
          <w:tcPr>
            <w:tcW w:w="2430" w:type="dxa"/>
          </w:tcPr>
          <w:p w:rsidR="00BB4F07" w:rsidRDefault="00BB4F07" w:rsidP="00883AF8">
            <w:pPr>
              <w:pStyle w:val="NoSpacing"/>
              <w:jc w:val="both"/>
              <w:rPr>
                <w:sz w:val="24"/>
              </w:rPr>
            </w:pPr>
          </w:p>
        </w:tc>
        <w:tc>
          <w:tcPr>
            <w:tcW w:w="2448" w:type="dxa"/>
          </w:tcPr>
          <w:p w:rsidR="00BB4F07" w:rsidRDefault="00BB4F07" w:rsidP="00883AF8">
            <w:pPr>
              <w:pStyle w:val="NoSpacing"/>
              <w:jc w:val="both"/>
              <w:rPr>
                <w:sz w:val="24"/>
              </w:rPr>
            </w:pPr>
          </w:p>
        </w:tc>
      </w:tr>
      <w:tr w:rsidR="00BB4F07" w:rsidTr="00A0665F">
        <w:tc>
          <w:tcPr>
            <w:tcW w:w="4698" w:type="dxa"/>
          </w:tcPr>
          <w:p w:rsidR="00BB4F07" w:rsidRDefault="00D55AC3" w:rsidP="00883AF8">
            <w:pPr>
              <w:pStyle w:val="NoSpacing"/>
              <w:jc w:val="both"/>
              <w:rPr>
                <w:sz w:val="24"/>
              </w:rPr>
            </w:pPr>
            <w:r>
              <w:rPr>
                <w:sz w:val="24"/>
              </w:rPr>
              <w:t>He</w:t>
            </w:r>
            <w:r w:rsidR="008705F2">
              <w:rPr>
                <w:sz w:val="24"/>
              </w:rPr>
              <w:t>patic</w:t>
            </w:r>
            <w:r w:rsidR="00BB4F07">
              <w:rPr>
                <w:sz w:val="24"/>
              </w:rPr>
              <w:t xml:space="preserve"> or renal failure (Uraemia)</w:t>
            </w:r>
          </w:p>
        </w:tc>
        <w:tc>
          <w:tcPr>
            <w:tcW w:w="2430" w:type="dxa"/>
          </w:tcPr>
          <w:p w:rsidR="00BB4F07" w:rsidRDefault="00BB4F07" w:rsidP="00883AF8">
            <w:pPr>
              <w:pStyle w:val="NoSpacing"/>
              <w:jc w:val="both"/>
              <w:rPr>
                <w:sz w:val="24"/>
              </w:rPr>
            </w:pPr>
          </w:p>
        </w:tc>
        <w:tc>
          <w:tcPr>
            <w:tcW w:w="2448" w:type="dxa"/>
          </w:tcPr>
          <w:p w:rsidR="00BB4F07" w:rsidRDefault="00BB4F07" w:rsidP="00883AF8">
            <w:pPr>
              <w:pStyle w:val="NoSpacing"/>
              <w:jc w:val="both"/>
              <w:rPr>
                <w:sz w:val="24"/>
              </w:rPr>
            </w:pPr>
          </w:p>
        </w:tc>
      </w:tr>
      <w:tr w:rsidR="00BB4F07" w:rsidTr="00A0665F">
        <w:tc>
          <w:tcPr>
            <w:tcW w:w="4698" w:type="dxa"/>
          </w:tcPr>
          <w:p w:rsidR="00BB4F07" w:rsidRDefault="00BB4F07" w:rsidP="00883AF8">
            <w:pPr>
              <w:pStyle w:val="NoSpacing"/>
              <w:jc w:val="both"/>
              <w:rPr>
                <w:sz w:val="24"/>
              </w:rPr>
            </w:pPr>
            <w:r>
              <w:rPr>
                <w:sz w:val="24"/>
              </w:rPr>
              <w:t>Sepsis</w:t>
            </w:r>
          </w:p>
        </w:tc>
        <w:tc>
          <w:tcPr>
            <w:tcW w:w="2430" w:type="dxa"/>
          </w:tcPr>
          <w:p w:rsidR="00BB4F07" w:rsidRDefault="00BB4F07" w:rsidP="00883AF8">
            <w:pPr>
              <w:pStyle w:val="NoSpacing"/>
              <w:jc w:val="both"/>
              <w:rPr>
                <w:sz w:val="24"/>
              </w:rPr>
            </w:pPr>
          </w:p>
        </w:tc>
        <w:tc>
          <w:tcPr>
            <w:tcW w:w="2448" w:type="dxa"/>
          </w:tcPr>
          <w:p w:rsidR="00BB4F07" w:rsidRDefault="00BB4F07" w:rsidP="00883AF8">
            <w:pPr>
              <w:pStyle w:val="NoSpacing"/>
              <w:jc w:val="both"/>
              <w:rPr>
                <w:sz w:val="24"/>
              </w:rPr>
            </w:pPr>
          </w:p>
        </w:tc>
      </w:tr>
    </w:tbl>
    <w:p w:rsidR="004B6799" w:rsidRDefault="004B6799" w:rsidP="00883AF8">
      <w:pPr>
        <w:pStyle w:val="NoSpacing"/>
        <w:pBdr>
          <w:bottom w:val="single" w:sz="6" w:space="1" w:color="auto"/>
        </w:pBdr>
        <w:jc w:val="both"/>
        <w:rPr>
          <w:sz w:val="24"/>
        </w:rPr>
      </w:pPr>
    </w:p>
    <w:p w:rsidR="00AB3D62" w:rsidRPr="00883AF8" w:rsidRDefault="00AB3D62" w:rsidP="00883AF8">
      <w:pPr>
        <w:pStyle w:val="NoSpacing"/>
        <w:jc w:val="both"/>
        <w:rPr>
          <w:sz w:val="24"/>
        </w:rPr>
      </w:pPr>
    </w:p>
    <w:p w:rsidR="00A0665F" w:rsidRDefault="00A0665F" w:rsidP="002C59EB">
      <w:pPr>
        <w:pStyle w:val="NoSpacing"/>
        <w:jc w:val="both"/>
        <w:rPr>
          <w:sz w:val="24"/>
        </w:rPr>
      </w:pPr>
      <w:proofErr w:type="gramStart"/>
      <w:r>
        <w:rPr>
          <w:sz w:val="24"/>
        </w:rPr>
        <w:t>release</w:t>
      </w:r>
      <w:proofErr w:type="gramEnd"/>
      <w:r>
        <w:rPr>
          <w:sz w:val="24"/>
        </w:rPr>
        <w:t>.  Electrolyte disturbances cause cell wall hyper polarization and prolonged block.  Hypothermia decreases metabolism and acidosis donates protons to tertiary amines, increasing receptor affinity.</w:t>
      </w:r>
    </w:p>
    <w:p w:rsidR="00557E3E" w:rsidRDefault="00557E3E" w:rsidP="002C59EB">
      <w:pPr>
        <w:pStyle w:val="NoSpacing"/>
        <w:jc w:val="both"/>
        <w:rPr>
          <w:sz w:val="24"/>
        </w:rPr>
      </w:pPr>
    </w:p>
    <w:p w:rsidR="00557E3E" w:rsidRPr="00883AF8" w:rsidRDefault="00557E3E" w:rsidP="002C59EB">
      <w:pPr>
        <w:pStyle w:val="NoSpacing"/>
        <w:jc w:val="both"/>
        <w:rPr>
          <w:sz w:val="24"/>
        </w:rPr>
      </w:pPr>
      <w:r>
        <w:rPr>
          <w:sz w:val="24"/>
        </w:rPr>
        <w:t>Deficiencies of plasma cholinesterase prolong block produced by succinylcholine;</w:t>
      </w:r>
      <w:r w:rsidR="003970C3">
        <w:rPr>
          <w:sz w:val="24"/>
        </w:rPr>
        <w:t xml:space="preserve"> therapeutic plasma concentrations persist because of decreased metabolism.  Extension of the block is variable and depends upon the genotype.</w:t>
      </w:r>
    </w:p>
    <w:p w:rsidR="00DE6E0E" w:rsidRPr="002C59EB" w:rsidRDefault="00DE6E0E" w:rsidP="002C59EB">
      <w:pPr>
        <w:pStyle w:val="NoSpacing"/>
        <w:jc w:val="both"/>
        <w:rPr>
          <w:sz w:val="24"/>
        </w:rPr>
      </w:pPr>
    </w:p>
    <w:p w:rsidR="002C59EB" w:rsidRPr="009707EB" w:rsidRDefault="009707EB" w:rsidP="002C59EB">
      <w:pPr>
        <w:pStyle w:val="NoSpacing"/>
        <w:rPr>
          <w:b/>
        </w:rPr>
      </w:pPr>
      <w:r w:rsidRPr="009707EB">
        <w:rPr>
          <w:b/>
        </w:rPr>
        <w:t>I.V. Anaesthetic Agents</w:t>
      </w:r>
    </w:p>
    <w:p w:rsidR="009707EB" w:rsidRDefault="009707EB" w:rsidP="002C59EB">
      <w:pPr>
        <w:pStyle w:val="NoSpacing"/>
      </w:pPr>
    </w:p>
    <w:p w:rsidR="008705F2" w:rsidRDefault="009707EB" w:rsidP="008705F2">
      <w:pPr>
        <w:pStyle w:val="NoSpacing"/>
        <w:jc w:val="both"/>
      </w:pPr>
      <w:r>
        <w:t>The termination of action of i.v. agents given as a bolus for induction is predominantly determined by redistribution and should not delay recovery.  Propofol has a large volume of distribution at steady-state and a relatively long elimination half-life.  The effect of propofol after total i.v. anaesthesia (TIVA) is prolonged</w:t>
      </w:r>
      <w:r w:rsidR="00DC21EB" w:rsidRPr="00DC21EB">
        <w:rPr>
          <w:vertAlign w:val="superscript"/>
        </w:rPr>
        <w:t>3</w:t>
      </w:r>
      <w:r>
        <w:t xml:space="preserve">.  The context-sensitive half-life is the time taken for the effect-site concentration of drug to reduce to 50%, and is dependent upon the duration of infusion (i.e. the context).  A set of context-sensitive half-life curves can be constructed for each drug allowing prediction of offset time.  </w:t>
      </w:r>
    </w:p>
    <w:p w:rsidR="009E5B6E" w:rsidRDefault="009E5B6E" w:rsidP="008161C5">
      <w:pPr>
        <w:jc w:val="both"/>
      </w:pPr>
    </w:p>
    <w:p w:rsidR="008161C5" w:rsidRDefault="008161C5" w:rsidP="008161C5">
      <w:pPr>
        <w:jc w:val="both"/>
      </w:pPr>
      <w:r>
        <w:tab/>
        <w:t>Th</w:t>
      </w:r>
      <w:r w:rsidR="009E5B6E">
        <w:t>e</w:t>
      </w:r>
      <w:r>
        <w:t>, duration of unconsciousness is affected by context-sensitive half-life, amount of drug, co-administration with other drugs, and patient factors.</w:t>
      </w:r>
    </w:p>
    <w:p w:rsidR="008161C5" w:rsidRPr="008161C5" w:rsidRDefault="008161C5" w:rsidP="008161C5">
      <w:pPr>
        <w:jc w:val="both"/>
        <w:rPr>
          <w:b/>
        </w:rPr>
      </w:pPr>
      <w:r w:rsidRPr="008161C5">
        <w:rPr>
          <w:b/>
        </w:rPr>
        <w:t>Volatile anaesthetic agents</w:t>
      </w:r>
    </w:p>
    <w:p w:rsidR="0010251B" w:rsidRDefault="008161C5" w:rsidP="008161C5">
      <w:pPr>
        <w:jc w:val="both"/>
      </w:pPr>
      <w:r>
        <w:t>Emergence from volatile agent anaesthesia depends upon pulmonary elimination of the drug and MAC</w:t>
      </w:r>
      <w:r w:rsidRPr="008161C5">
        <w:rPr>
          <w:vertAlign w:val="subscript"/>
        </w:rPr>
        <w:t>awake</w:t>
      </w:r>
      <w:r>
        <w:t xml:space="preserve"> (the end –</w:t>
      </w:r>
      <w:proofErr w:type="gramStart"/>
      <w:r>
        <w:t>tidal  concentration</w:t>
      </w:r>
      <w:proofErr w:type="gramEnd"/>
      <w:r>
        <w:t xml:space="preserve"> associated with eye-opening to verbal command).  MAC</w:t>
      </w:r>
      <w:r w:rsidRPr="008161C5">
        <w:rPr>
          <w:vertAlign w:val="subscript"/>
        </w:rPr>
        <w:t>awake</w:t>
      </w:r>
      <w:r>
        <w:t xml:space="preserve"> is consistently and approximately 30% of MAC.  </w:t>
      </w:r>
      <w:proofErr w:type="gramStart"/>
      <w:r>
        <w:t>(MAC</w:t>
      </w:r>
      <w:r w:rsidRPr="008161C5">
        <w:rPr>
          <w:vertAlign w:val="subscript"/>
        </w:rPr>
        <w:t>awake</w:t>
      </w:r>
      <w:r>
        <w:t>; isoflurane 0.39%; desflurane 2.17%; sevoflurane 0.61%).</w:t>
      </w:r>
      <w:proofErr w:type="gramEnd"/>
      <w:r>
        <w:t xml:space="preserve">  Pulmonary elimination is determined by alveola</w:t>
      </w:r>
      <w:r w:rsidR="009E5B6E">
        <w:t>r</w:t>
      </w:r>
      <w:r>
        <w:t xml:space="preserve"> ventilation, blood-gas partition co-efficient </w:t>
      </w:r>
      <w:r w:rsidR="0010251B">
        <w:t>and dose (MAC-hours).  Using an agent with low blood-gas solubility results in a quicker emergence (e.g. sevoflur</w:t>
      </w:r>
      <w:r w:rsidR="00DC21EB">
        <w:t>n</w:t>
      </w:r>
      <w:r w:rsidR="0010251B">
        <w:t>e 7 min; isoflurane 1.5 min). Alveolar hypoventilation lengthens the time taken to exhale the anaesthetic and delay recovery.  Time to emergence increases with increasing duration of anaesthesia (i.e. context-sensitive half-life increases), but does not change MAC</w:t>
      </w:r>
      <w:r w:rsidR="0010251B" w:rsidRPr="0010251B">
        <w:rPr>
          <w:vertAlign w:val="subscript"/>
        </w:rPr>
        <w:t>awake</w:t>
      </w:r>
      <w:r w:rsidR="0010251B">
        <w:t>.  Practically, once a patient has emerged from anaesthesia any remaining volatile agent leaching from the body stores is unlikely to cause an effect-site concentration that would cause unconsciousness.</w:t>
      </w:r>
    </w:p>
    <w:p w:rsidR="0010251B" w:rsidRDefault="0010251B" w:rsidP="008161C5">
      <w:pPr>
        <w:jc w:val="both"/>
      </w:pPr>
      <w:r>
        <w:tab/>
        <w:t>It is important to remember that drug overdoses are relative; they depend upon who received them, what point in time relative to cessation of general anaesthesia they occur, and what other agents have been administered.</w:t>
      </w:r>
    </w:p>
    <w:p w:rsidR="00DC21EB" w:rsidRDefault="00DC21EB" w:rsidP="008161C5">
      <w:pPr>
        <w:jc w:val="both"/>
      </w:pPr>
    </w:p>
    <w:p w:rsidR="00DC21EB" w:rsidRDefault="00DC21EB" w:rsidP="008161C5">
      <w:pPr>
        <w:jc w:val="both"/>
      </w:pPr>
    </w:p>
    <w:p w:rsidR="007D6A97" w:rsidRPr="007D6A97" w:rsidRDefault="007D6A97" w:rsidP="008161C5">
      <w:pPr>
        <w:jc w:val="both"/>
        <w:rPr>
          <w:b/>
        </w:rPr>
      </w:pPr>
      <w:r w:rsidRPr="007D6A97">
        <w:rPr>
          <w:b/>
        </w:rPr>
        <w:t>Metabolic causes</w:t>
      </w:r>
    </w:p>
    <w:p w:rsidR="007D6A97" w:rsidRPr="007D6A97" w:rsidRDefault="007D6A97" w:rsidP="008161C5">
      <w:pPr>
        <w:jc w:val="both"/>
        <w:rPr>
          <w:b/>
        </w:rPr>
      </w:pPr>
      <w:r w:rsidRPr="007D6A97">
        <w:rPr>
          <w:b/>
        </w:rPr>
        <w:t>Hypoglycaemia</w:t>
      </w:r>
    </w:p>
    <w:p w:rsidR="007D6A97" w:rsidRDefault="009E5B6E" w:rsidP="009E5B6E">
      <w:pPr>
        <w:pStyle w:val="NoSpacing"/>
        <w:jc w:val="both"/>
      </w:pPr>
      <w:r w:rsidRPr="009E5B6E">
        <w:rPr>
          <w:rFonts w:cs="Arial"/>
          <w:color w:val="252525"/>
          <w:sz w:val="21"/>
          <w:szCs w:val="21"/>
          <w:shd w:val="clear" w:color="auto" w:fill="FFFFFF"/>
        </w:rPr>
        <w:t>The glucose level that defines hypoglycemia is variable. In people with diabetes levels below 3.9 </w:t>
      </w:r>
      <w:proofErr w:type="spellStart"/>
      <w:r w:rsidR="00462ECA" w:rsidRPr="009E5B6E">
        <w:fldChar w:fldCharType="begin"/>
      </w:r>
      <w:r w:rsidRPr="009E5B6E">
        <w:instrText xml:space="preserve"> HYPERLINK "https://en.wikipedia.org/wiki/Reference_ranges_for_blood_tests" \o "Reference ranges for blood tests" </w:instrText>
      </w:r>
      <w:r w:rsidR="00462ECA" w:rsidRPr="009E5B6E">
        <w:fldChar w:fldCharType="separate"/>
      </w:r>
      <w:r w:rsidRPr="009E5B6E">
        <w:rPr>
          <w:rStyle w:val="Hyperlink"/>
          <w:rFonts w:cs="Arial"/>
          <w:color w:val="0B0080"/>
          <w:sz w:val="21"/>
          <w:szCs w:val="21"/>
          <w:shd w:val="clear" w:color="auto" w:fill="FFFFFF"/>
        </w:rPr>
        <w:t>mmol</w:t>
      </w:r>
      <w:proofErr w:type="spellEnd"/>
      <w:r w:rsidRPr="009E5B6E">
        <w:rPr>
          <w:rStyle w:val="Hyperlink"/>
          <w:rFonts w:cs="Arial"/>
          <w:color w:val="0B0080"/>
          <w:sz w:val="21"/>
          <w:szCs w:val="21"/>
          <w:shd w:val="clear" w:color="auto" w:fill="FFFFFF"/>
        </w:rPr>
        <w:t>/L</w:t>
      </w:r>
      <w:r w:rsidR="00462ECA" w:rsidRPr="009E5B6E">
        <w:fldChar w:fldCharType="end"/>
      </w:r>
      <w:r w:rsidRPr="009E5B6E">
        <w:rPr>
          <w:rStyle w:val="apple-converted-space"/>
          <w:rFonts w:cs="Arial"/>
          <w:color w:val="252525"/>
          <w:sz w:val="21"/>
          <w:szCs w:val="21"/>
          <w:shd w:val="clear" w:color="auto" w:fill="FFFFFF"/>
        </w:rPr>
        <w:t> </w:t>
      </w:r>
      <w:r w:rsidRPr="009E5B6E">
        <w:rPr>
          <w:rFonts w:cs="Arial"/>
          <w:color w:val="252525"/>
          <w:sz w:val="21"/>
          <w:szCs w:val="21"/>
          <w:shd w:val="clear" w:color="auto" w:fill="FFFFFF"/>
        </w:rPr>
        <w:t>(70 mg/</w:t>
      </w:r>
      <w:proofErr w:type="spellStart"/>
      <w:r w:rsidRPr="009E5B6E">
        <w:rPr>
          <w:rFonts w:cs="Arial"/>
          <w:color w:val="252525"/>
          <w:sz w:val="21"/>
          <w:szCs w:val="21"/>
          <w:shd w:val="clear" w:color="auto" w:fill="FFFFFF"/>
        </w:rPr>
        <w:t>dL</w:t>
      </w:r>
      <w:proofErr w:type="spellEnd"/>
      <w:r w:rsidRPr="009E5B6E">
        <w:rPr>
          <w:rFonts w:cs="Arial"/>
          <w:color w:val="252525"/>
          <w:sz w:val="21"/>
          <w:szCs w:val="21"/>
          <w:shd w:val="clear" w:color="auto" w:fill="FFFFFF"/>
        </w:rPr>
        <w:t>) is diagnostic.</w:t>
      </w:r>
      <w:r w:rsidR="00DC21EB" w:rsidRPr="00DC21EB">
        <w:rPr>
          <w:rFonts w:cs="Arial"/>
          <w:color w:val="252525"/>
          <w:sz w:val="21"/>
          <w:szCs w:val="21"/>
          <w:shd w:val="clear" w:color="auto" w:fill="FFFFFF"/>
          <w:vertAlign w:val="superscript"/>
        </w:rPr>
        <w:t>4</w:t>
      </w:r>
      <w:r w:rsidR="00DC21EB" w:rsidRPr="009E5B6E">
        <w:rPr>
          <w:rFonts w:cs="Arial"/>
          <w:color w:val="252525"/>
          <w:sz w:val="21"/>
          <w:szCs w:val="21"/>
          <w:shd w:val="clear" w:color="auto" w:fill="FFFFFF"/>
        </w:rPr>
        <w:t xml:space="preserve"> </w:t>
      </w:r>
      <w:r w:rsidRPr="009E5B6E">
        <w:rPr>
          <w:rFonts w:cs="Arial"/>
          <w:color w:val="252525"/>
          <w:sz w:val="21"/>
          <w:szCs w:val="21"/>
          <w:shd w:val="clear" w:color="auto" w:fill="FFFFFF"/>
        </w:rPr>
        <w:t>In adults without diabetes, symptoms related to low blood sugar, low blood sugar at the time of symptoms, and improvement when blood sugar is restored to normal confirm the diagnosis</w:t>
      </w:r>
      <w:r w:rsidR="007B2B4B">
        <w:rPr>
          <w:rFonts w:cs="Arial"/>
          <w:color w:val="252525"/>
          <w:sz w:val="21"/>
          <w:szCs w:val="21"/>
          <w:shd w:val="clear" w:color="auto" w:fill="FFFFFF"/>
        </w:rPr>
        <w:t>.</w:t>
      </w:r>
      <w:r w:rsidR="00DC21EB" w:rsidRPr="009E5B6E">
        <w:rPr>
          <w:rStyle w:val="apple-converted-space"/>
          <w:rFonts w:cs="Arial"/>
          <w:color w:val="252525"/>
          <w:sz w:val="21"/>
          <w:szCs w:val="21"/>
          <w:shd w:val="clear" w:color="auto" w:fill="FFFFFF"/>
        </w:rPr>
        <w:t> </w:t>
      </w:r>
      <w:r w:rsidRPr="009E5B6E">
        <w:rPr>
          <w:rFonts w:cs="Arial"/>
          <w:color w:val="252525"/>
          <w:sz w:val="21"/>
          <w:szCs w:val="21"/>
          <w:shd w:val="clear" w:color="auto" w:fill="FFFFFF"/>
        </w:rPr>
        <w:t xml:space="preserve">Otherwise a level </w:t>
      </w:r>
      <w:proofErr w:type="gramStart"/>
      <w:r w:rsidRPr="009E5B6E">
        <w:rPr>
          <w:rFonts w:cs="Arial"/>
          <w:color w:val="252525"/>
          <w:sz w:val="21"/>
          <w:szCs w:val="21"/>
          <w:shd w:val="clear" w:color="auto" w:fill="FFFFFF"/>
        </w:rPr>
        <w:t>below 2.8 mmol/L (50 mg/dL) after not eating or following exercise</w:t>
      </w:r>
      <w:proofErr w:type="gramEnd"/>
      <w:r w:rsidRPr="009E5B6E">
        <w:rPr>
          <w:rFonts w:cs="Arial"/>
          <w:color w:val="252525"/>
          <w:sz w:val="21"/>
          <w:szCs w:val="21"/>
          <w:shd w:val="clear" w:color="auto" w:fill="FFFFFF"/>
        </w:rPr>
        <w:t xml:space="preserve"> may be used</w:t>
      </w:r>
      <w:r w:rsidR="00892E16">
        <w:rPr>
          <w:rFonts w:cs="Arial"/>
          <w:color w:val="252525"/>
          <w:sz w:val="21"/>
          <w:szCs w:val="21"/>
          <w:shd w:val="clear" w:color="auto" w:fill="FFFFFF"/>
        </w:rPr>
        <w:t>.</w:t>
      </w:r>
      <w:r w:rsidRPr="009E5B6E">
        <w:rPr>
          <w:rStyle w:val="apple-converted-space"/>
          <w:rFonts w:cs="Arial"/>
          <w:color w:val="252525"/>
          <w:sz w:val="21"/>
          <w:szCs w:val="21"/>
          <w:shd w:val="clear" w:color="auto" w:fill="FFFFFF"/>
        </w:rPr>
        <w:t> </w:t>
      </w:r>
      <w:r w:rsidRPr="009E5B6E">
        <w:rPr>
          <w:rFonts w:cs="Arial"/>
          <w:color w:val="252525"/>
          <w:sz w:val="21"/>
          <w:szCs w:val="21"/>
          <w:shd w:val="clear" w:color="auto" w:fill="FFFFFF"/>
        </w:rPr>
        <w:t>In newborns a level below 2.2 mmol/L (40 mg/dL) or less than 3.3 mmol/L (60 mg/dL) if symptoms are present indicates hypoglycemia</w:t>
      </w:r>
      <w:r w:rsidR="007B2B4B">
        <w:rPr>
          <w:rFonts w:cs="Arial"/>
          <w:color w:val="252525"/>
          <w:sz w:val="21"/>
          <w:szCs w:val="21"/>
          <w:shd w:val="clear" w:color="auto" w:fill="FFFFFF"/>
        </w:rPr>
        <w:t>.</w:t>
      </w:r>
      <w:r w:rsidR="007B2B4B" w:rsidRPr="007B2B4B">
        <w:rPr>
          <w:rFonts w:cs="Arial"/>
          <w:color w:val="252525"/>
          <w:sz w:val="21"/>
          <w:szCs w:val="21"/>
          <w:shd w:val="clear" w:color="auto" w:fill="FFFFFF"/>
          <w:vertAlign w:val="superscript"/>
        </w:rPr>
        <w:t>5</w:t>
      </w:r>
      <w:r w:rsidR="00EB5310">
        <w:rPr>
          <w:rFonts w:cs="Arial"/>
          <w:color w:val="252525"/>
          <w:sz w:val="21"/>
          <w:szCs w:val="21"/>
          <w:shd w:val="clear" w:color="auto" w:fill="FFFFFF"/>
          <w:vertAlign w:val="superscript"/>
        </w:rPr>
        <w:t>,6</w:t>
      </w:r>
      <w:r w:rsidRPr="009E5B6E">
        <w:rPr>
          <w:rStyle w:val="apple-converted-space"/>
          <w:rFonts w:cs="Arial"/>
          <w:color w:val="252525"/>
          <w:sz w:val="21"/>
          <w:szCs w:val="21"/>
          <w:shd w:val="clear" w:color="auto" w:fill="FFFFFF"/>
        </w:rPr>
        <w:t> </w:t>
      </w:r>
      <w:r w:rsidRPr="009E5B6E">
        <w:rPr>
          <w:rFonts w:cs="Arial"/>
          <w:color w:val="252525"/>
          <w:sz w:val="21"/>
          <w:szCs w:val="21"/>
          <w:shd w:val="clear" w:color="auto" w:fill="FFFFFF"/>
        </w:rPr>
        <w:t>Other tests that may be useful in determining the cause include insulin and</w:t>
      </w:r>
      <w:r w:rsidRPr="009E5B6E">
        <w:rPr>
          <w:rStyle w:val="apple-converted-space"/>
          <w:rFonts w:cs="Arial"/>
          <w:color w:val="252525"/>
          <w:sz w:val="21"/>
          <w:szCs w:val="21"/>
          <w:shd w:val="clear" w:color="auto" w:fill="FFFFFF"/>
        </w:rPr>
        <w:t> </w:t>
      </w:r>
      <w:hyperlink r:id="rId5" w:tooltip="C peptide" w:history="1">
        <w:r w:rsidRPr="009E5B6E">
          <w:rPr>
            <w:rStyle w:val="Hyperlink"/>
            <w:rFonts w:cs="Arial"/>
            <w:color w:val="0B0080"/>
            <w:sz w:val="21"/>
            <w:szCs w:val="21"/>
            <w:shd w:val="clear" w:color="auto" w:fill="FFFFFF"/>
          </w:rPr>
          <w:t>C peptide</w:t>
        </w:r>
      </w:hyperlink>
      <w:r w:rsidRPr="009E5B6E">
        <w:rPr>
          <w:rStyle w:val="apple-converted-space"/>
          <w:rFonts w:cs="Arial"/>
          <w:color w:val="252525"/>
          <w:sz w:val="21"/>
          <w:szCs w:val="21"/>
          <w:shd w:val="clear" w:color="auto" w:fill="FFFFFF"/>
        </w:rPr>
        <w:t> </w:t>
      </w:r>
      <w:r w:rsidRPr="009E5B6E">
        <w:rPr>
          <w:rFonts w:cs="Arial"/>
          <w:color w:val="252525"/>
          <w:sz w:val="21"/>
          <w:szCs w:val="21"/>
          <w:shd w:val="clear" w:color="auto" w:fill="FFFFFF"/>
        </w:rPr>
        <w:t>levels in the blood</w:t>
      </w:r>
      <w:r w:rsidR="007B2B4B">
        <w:rPr>
          <w:rFonts w:cs="Arial"/>
          <w:color w:val="252525"/>
          <w:sz w:val="21"/>
          <w:szCs w:val="21"/>
          <w:shd w:val="clear" w:color="auto" w:fill="FFFFFF"/>
        </w:rPr>
        <w:t>.</w:t>
      </w:r>
      <w:r w:rsidRPr="009E5B6E">
        <w:rPr>
          <w:rStyle w:val="apple-converted-space"/>
          <w:rFonts w:cs="Arial"/>
          <w:color w:val="252525"/>
          <w:sz w:val="21"/>
          <w:szCs w:val="21"/>
          <w:shd w:val="clear" w:color="auto" w:fill="FFFFFF"/>
        </w:rPr>
        <w:t> </w:t>
      </w:r>
      <w:r w:rsidRPr="009E5B6E">
        <w:rPr>
          <w:rFonts w:cs="Arial"/>
          <w:color w:val="252525"/>
          <w:sz w:val="21"/>
          <w:szCs w:val="21"/>
          <w:shd w:val="clear" w:color="auto" w:fill="FFFFFF"/>
        </w:rPr>
        <w:t>.</w:t>
      </w:r>
      <w:r w:rsidR="007D6A97">
        <w:t xml:space="preserve">  The brain is totally dependent upon glucose as its energy source.  The effects of hypoglycaemia can be divided into those resulting from the sympathetic (catecholamine) response and those caused by neuroglycopenia.  Neuroglycopenia manifests as confusion, abnormal behavior, seizures and coma.  In the elderly population, lateralizing neurological signs are commonly seen.  Postoperative hypoglycacmia most often results from poorly controlled diabetes, starvation and alcohol </w:t>
      </w:r>
      <w:r w:rsidR="00317263">
        <w:t>consumption.  Alcohol impairs gluconeogenesis, and will exacerbate hypoglycaemia in starved patients or those with minimal energy reserves.  Other causes of hy</w:t>
      </w:r>
      <w:r>
        <w:t>poglycacmia are listed in Table</w:t>
      </w:r>
      <w:r w:rsidR="00317263">
        <w:t>.</w:t>
      </w:r>
    </w:p>
    <w:p w:rsidR="009E5B6E" w:rsidRDefault="009E5B6E" w:rsidP="009E5B6E">
      <w:pPr>
        <w:pStyle w:val="NoSpacing"/>
        <w:jc w:val="both"/>
      </w:pPr>
    </w:p>
    <w:p w:rsidR="00317263" w:rsidRPr="00317263" w:rsidRDefault="00317263" w:rsidP="007D6A97">
      <w:pPr>
        <w:jc w:val="both"/>
        <w:rPr>
          <w:b/>
        </w:rPr>
      </w:pPr>
      <w:r w:rsidRPr="00317263">
        <w:rPr>
          <w:b/>
        </w:rPr>
        <w:t>Hyperglycaemia</w:t>
      </w:r>
    </w:p>
    <w:p w:rsidR="00317263" w:rsidRDefault="00317263" w:rsidP="007D6A97">
      <w:pPr>
        <w:jc w:val="both"/>
      </w:pPr>
      <w:r>
        <w:t>Severe hyperglycaemia can prolong unconsciousness after anaesth</w:t>
      </w:r>
      <w:r w:rsidR="00892E16">
        <w:t>esia.  A venous blood glucose&gt;</w:t>
      </w:r>
      <w:r w:rsidR="009E5B6E">
        <w:t xml:space="preserve"> 250mg/dl </w:t>
      </w:r>
      <w:r w:rsidR="00892E16">
        <w:t xml:space="preserve"> </w:t>
      </w:r>
      <w:r w:rsidR="00D55AC3">
        <w:t xml:space="preserve"> causes an osmotic </w:t>
      </w:r>
      <w:proofErr w:type="spellStart"/>
      <w:r w:rsidR="00D55AC3">
        <w:t>diu</w:t>
      </w:r>
      <w:r>
        <w:t>resis</w:t>
      </w:r>
      <w:proofErr w:type="spellEnd"/>
      <w:r>
        <w:t xml:space="preserve"> and dehydration in the untreated patient.  The effects of dehydration range from drowsiness to acidosis.  Furthermore, blood hyperosmola</w:t>
      </w:r>
      <w:r w:rsidR="00627D2A">
        <w:t>r</w:t>
      </w:r>
      <w:r>
        <w:t>ity and hyperviscosity</w:t>
      </w:r>
      <w:r w:rsidR="00D55AC3">
        <w:t xml:space="preserve"> predispose to thrombosis and ce</w:t>
      </w:r>
      <w:r>
        <w:t xml:space="preserve">rebral </w:t>
      </w:r>
      <w:proofErr w:type="spellStart"/>
      <w:r>
        <w:t>oedema</w:t>
      </w:r>
      <w:proofErr w:type="spellEnd"/>
      <w:r>
        <w:t>. Intraoperative cerebrovascular accident may occur as a result of cerebral vascular occlusion, especially in diabetics with microvascular</w:t>
      </w:r>
    </w:p>
    <w:p w:rsidR="00317263" w:rsidRDefault="00317263" w:rsidP="007D6A97">
      <w:pPr>
        <w:jc w:val="both"/>
      </w:pPr>
      <w:r>
        <w:t xml:space="preserve">Table </w:t>
      </w:r>
      <w:r w:rsidR="00627D2A">
        <w:t xml:space="preserve">2 </w:t>
      </w:r>
      <w:r w:rsidR="009E5B6E" w:rsidRPr="00627D2A">
        <w:rPr>
          <w:b/>
        </w:rPr>
        <w:t>Metabolic</w:t>
      </w:r>
      <w:r w:rsidRPr="00627D2A">
        <w:rPr>
          <w:b/>
        </w:rPr>
        <w:t xml:space="preserve"> disturbances</w:t>
      </w:r>
    </w:p>
    <w:p w:rsidR="00011BF0" w:rsidRDefault="00011BF0" w:rsidP="007D6A97">
      <w:pPr>
        <w:pBdr>
          <w:top w:val="single" w:sz="6" w:space="1" w:color="auto"/>
          <w:bottom w:val="single" w:sz="6" w:space="1" w:color="auto"/>
        </w:pBdr>
        <w:jc w:val="both"/>
      </w:pPr>
      <w:r>
        <w:t>Endocrine disturbance</w:t>
      </w:r>
      <w:r>
        <w:tab/>
      </w:r>
      <w:r>
        <w:tab/>
      </w:r>
      <w:r>
        <w:tab/>
      </w:r>
      <w:r>
        <w:tab/>
        <w:t>Causes</w:t>
      </w:r>
    </w:p>
    <w:p w:rsidR="00011BF0" w:rsidRDefault="00011BF0" w:rsidP="00011BF0">
      <w:pPr>
        <w:pStyle w:val="NoSpacing"/>
      </w:pPr>
      <w:r>
        <w:t>Hypoglycaemia</w:t>
      </w:r>
      <w:r>
        <w:tab/>
      </w:r>
      <w:r>
        <w:tab/>
      </w:r>
      <w:r>
        <w:tab/>
      </w:r>
      <w:r>
        <w:tab/>
      </w:r>
      <w:r>
        <w:tab/>
        <w:t>Diabetes</w:t>
      </w:r>
    </w:p>
    <w:p w:rsidR="00011BF0" w:rsidRDefault="00011BF0" w:rsidP="00011BF0">
      <w:pPr>
        <w:pStyle w:val="NoSpacing"/>
      </w:pPr>
      <w:r>
        <w:tab/>
      </w:r>
      <w:r>
        <w:tab/>
      </w:r>
      <w:r>
        <w:tab/>
      </w:r>
      <w:r>
        <w:tab/>
      </w:r>
      <w:r>
        <w:tab/>
      </w:r>
      <w:r>
        <w:tab/>
        <w:t>Starvation</w:t>
      </w:r>
    </w:p>
    <w:p w:rsidR="00011BF0" w:rsidRDefault="00011BF0" w:rsidP="00011BF0">
      <w:pPr>
        <w:pStyle w:val="NoSpacing"/>
      </w:pPr>
      <w:r>
        <w:tab/>
      </w:r>
      <w:r>
        <w:tab/>
      </w:r>
      <w:r>
        <w:tab/>
      </w:r>
      <w:r>
        <w:tab/>
      </w:r>
      <w:r>
        <w:tab/>
      </w:r>
      <w:r>
        <w:tab/>
        <w:t>Alcohol</w:t>
      </w:r>
      <w:r>
        <w:tab/>
      </w:r>
    </w:p>
    <w:p w:rsidR="00011BF0" w:rsidRDefault="00011BF0" w:rsidP="00011BF0">
      <w:pPr>
        <w:pStyle w:val="NoSpacing"/>
      </w:pPr>
      <w:r>
        <w:tab/>
      </w:r>
      <w:r>
        <w:tab/>
      </w:r>
      <w:r>
        <w:tab/>
      </w:r>
      <w:r>
        <w:tab/>
      </w:r>
      <w:r>
        <w:tab/>
      </w:r>
      <w:r>
        <w:tab/>
        <w:t>Sepsis</w:t>
      </w:r>
    </w:p>
    <w:p w:rsidR="00011BF0" w:rsidRDefault="00011BF0" w:rsidP="00011BF0">
      <w:pPr>
        <w:pStyle w:val="NoSpacing"/>
      </w:pPr>
      <w:r>
        <w:tab/>
      </w:r>
      <w:r>
        <w:tab/>
      </w:r>
      <w:r>
        <w:tab/>
      </w:r>
      <w:r>
        <w:tab/>
      </w:r>
      <w:r>
        <w:tab/>
      </w:r>
      <w:r>
        <w:tab/>
        <w:t>Liver failure</w:t>
      </w:r>
    </w:p>
    <w:p w:rsidR="00011BF0" w:rsidRDefault="00011BF0" w:rsidP="00011BF0">
      <w:pPr>
        <w:pStyle w:val="NoSpacing"/>
      </w:pPr>
      <w:r>
        <w:tab/>
      </w:r>
      <w:r>
        <w:tab/>
      </w:r>
      <w:r>
        <w:tab/>
      </w:r>
      <w:r>
        <w:tab/>
      </w:r>
      <w:r>
        <w:tab/>
      </w:r>
      <w:r>
        <w:tab/>
        <w:t>Paediatrics</w:t>
      </w:r>
    </w:p>
    <w:p w:rsidR="00011BF0" w:rsidRDefault="00011BF0" w:rsidP="00011BF0">
      <w:pPr>
        <w:pStyle w:val="NoSpacing"/>
      </w:pPr>
      <w:r>
        <w:tab/>
      </w:r>
      <w:r>
        <w:tab/>
      </w:r>
      <w:r>
        <w:tab/>
      </w:r>
      <w:r>
        <w:tab/>
      </w:r>
      <w:r>
        <w:tab/>
      </w:r>
      <w:r>
        <w:tab/>
        <w:t>Sulphonylureas</w:t>
      </w:r>
    </w:p>
    <w:p w:rsidR="00011BF0" w:rsidRDefault="00011BF0" w:rsidP="00011BF0">
      <w:pPr>
        <w:pStyle w:val="NoSpacing"/>
      </w:pPr>
      <w:r>
        <w:tab/>
      </w:r>
      <w:r>
        <w:tab/>
      </w:r>
      <w:r>
        <w:tab/>
      </w:r>
      <w:r>
        <w:tab/>
      </w:r>
      <w:r>
        <w:tab/>
      </w:r>
      <w:r>
        <w:tab/>
        <w:t>Endocrine tumours</w:t>
      </w:r>
    </w:p>
    <w:p w:rsidR="00011BF0" w:rsidRDefault="00011BF0" w:rsidP="00011BF0">
      <w:pPr>
        <w:pStyle w:val="NoSpacing"/>
      </w:pPr>
      <w:r>
        <w:tab/>
      </w:r>
      <w:r>
        <w:tab/>
      </w:r>
      <w:r>
        <w:tab/>
      </w:r>
      <w:r>
        <w:tab/>
      </w:r>
      <w:r>
        <w:tab/>
      </w:r>
      <w:r>
        <w:tab/>
        <w:t>Hypoadrenalism</w:t>
      </w:r>
    </w:p>
    <w:p w:rsidR="00011BF0" w:rsidRDefault="00011BF0" w:rsidP="00011BF0">
      <w:pPr>
        <w:pStyle w:val="NoSpacing"/>
      </w:pPr>
      <w:r>
        <w:t>Hyperglycaemia</w:t>
      </w:r>
      <w:r>
        <w:tab/>
      </w:r>
      <w:r>
        <w:tab/>
      </w:r>
      <w:r>
        <w:tab/>
      </w:r>
      <w:r>
        <w:tab/>
      </w:r>
      <w:r>
        <w:tab/>
      </w:r>
      <w:r w:rsidR="00E80B5E">
        <w:t>Ketoacidosis</w:t>
      </w:r>
    </w:p>
    <w:p w:rsidR="00E80B5E" w:rsidRDefault="009E5B6E" w:rsidP="00011BF0">
      <w:pPr>
        <w:pStyle w:val="NoSpacing"/>
      </w:pPr>
      <w:r>
        <w:tab/>
      </w:r>
      <w:r>
        <w:tab/>
      </w:r>
      <w:r>
        <w:tab/>
      </w:r>
      <w:r>
        <w:tab/>
      </w:r>
      <w:r>
        <w:tab/>
      </w:r>
      <w:r>
        <w:tab/>
        <w:t>Hyperosm</w:t>
      </w:r>
      <w:r w:rsidR="00E80B5E">
        <w:t>olar non ketotic acidosis (HONK)</w:t>
      </w:r>
    </w:p>
    <w:p w:rsidR="00E80B5E" w:rsidRDefault="00E80B5E" w:rsidP="00011BF0">
      <w:pPr>
        <w:pStyle w:val="NoSpacing"/>
      </w:pPr>
      <w:r>
        <w:tab/>
      </w:r>
      <w:r>
        <w:tab/>
      </w:r>
      <w:r>
        <w:tab/>
      </w:r>
      <w:r>
        <w:tab/>
      </w:r>
      <w:r>
        <w:tab/>
      </w:r>
      <w:r>
        <w:tab/>
        <w:t>Lactic acidosis</w:t>
      </w:r>
    </w:p>
    <w:p w:rsidR="00E80B5E" w:rsidRDefault="00E80B5E" w:rsidP="00011BF0">
      <w:pPr>
        <w:pStyle w:val="NoSpacing"/>
      </w:pPr>
      <w:r>
        <w:tab/>
      </w:r>
      <w:r>
        <w:tab/>
      </w:r>
      <w:r>
        <w:tab/>
      </w:r>
      <w:r>
        <w:tab/>
      </w:r>
      <w:r>
        <w:tab/>
      </w:r>
      <w:r>
        <w:tab/>
        <w:t>Gestational diabetes</w:t>
      </w:r>
    </w:p>
    <w:p w:rsidR="00E80B5E" w:rsidRDefault="00E80B5E" w:rsidP="00011BF0">
      <w:pPr>
        <w:pStyle w:val="NoSpacing"/>
      </w:pPr>
      <w:r>
        <w:tab/>
      </w:r>
      <w:r>
        <w:tab/>
      </w:r>
      <w:r>
        <w:tab/>
      </w:r>
      <w:r w:rsidR="00D55AC3">
        <w:tab/>
      </w:r>
      <w:r w:rsidR="00D55AC3">
        <w:tab/>
      </w:r>
      <w:r w:rsidR="00D55AC3">
        <w:tab/>
        <w:t>Insulin resistance (</w:t>
      </w:r>
      <w:proofErr w:type="spellStart"/>
      <w:r w:rsidR="00D55AC3">
        <w:t>acromega</w:t>
      </w:r>
      <w:r>
        <w:t>ly</w:t>
      </w:r>
      <w:proofErr w:type="spellEnd"/>
      <w:r>
        <w:t>, Cushing’s</w:t>
      </w:r>
      <w:r w:rsidR="009E5B6E">
        <w:t xml:space="preserve"> syndrome</w:t>
      </w:r>
      <w:r>
        <w:t>)</w:t>
      </w:r>
    </w:p>
    <w:p w:rsidR="00E80B5E" w:rsidRDefault="00E80B5E" w:rsidP="00011BF0">
      <w:pPr>
        <w:pStyle w:val="NoSpacing"/>
      </w:pPr>
      <w:r>
        <w:tab/>
      </w:r>
      <w:r>
        <w:tab/>
      </w:r>
      <w:r>
        <w:tab/>
      </w:r>
      <w:r>
        <w:tab/>
      </w:r>
      <w:r>
        <w:tab/>
      </w:r>
      <w:r>
        <w:tab/>
        <w:t>Pancreatitis</w:t>
      </w:r>
    </w:p>
    <w:p w:rsidR="00E80B5E" w:rsidRDefault="00E80B5E" w:rsidP="00011BF0">
      <w:pPr>
        <w:pStyle w:val="NoSpacing"/>
      </w:pPr>
      <w:r>
        <w:tab/>
      </w:r>
      <w:r>
        <w:tab/>
      </w:r>
      <w:r>
        <w:tab/>
      </w:r>
      <w:r>
        <w:tab/>
      </w:r>
      <w:r>
        <w:tab/>
      </w:r>
      <w:r>
        <w:tab/>
        <w:t xml:space="preserve">Inherited syndromes </w:t>
      </w:r>
    </w:p>
    <w:p w:rsidR="00E80B5E" w:rsidRDefault="00E80B5E" w:rsidP="00011BF0">
      <w:pPr>
        <w:pStyle w:val="NoSpacing"/>
      </w:pPr>
      <w:r>
        <w:lastRenderedPageBreak/>
        <w:t>Hyponatraemia and water excess</w:t>
      </w:r>
      <w:r>
        <w:tab/>
      </w:r>
      <w:r>
        <w:tab/>
        <w:t>Na deficien</w:t>
      </w:r>
      <w:r w:rsidR="00D55AC3">
        <w:t>t</w:t>
      </w:r>
      <w:r>
        <w:t xml:space="preserve"> </w:t>
      </w:r>
      <w:proofErr w:type="spellStart"/>
      <w:r>
        <w:t>I.v</w:t>
      </w:r>
      <w:proofErr w:type="spellEnd"/>
      <w:r>
        <w:t>. fluids</w:t>
      </w:r>
    </w:p>
    <w:p w:rsidR="00E80B5E" w:rsidRDefault="00E80B5E" w:rsidP="00011BF0">
      <w:pPr>
        <w:pStyle w:val="NoSpacing"/>
      </w:pPr>
      <w:r>
        <w:tab/>
      </w:r>
      <w:r>
        <w:tab/>
      </w:r>
      <w:r>
        <w:tab/>
      </w:r>
      <w:r>
        <w:tab/>
      </w:r>
      <w:r>
        <w:tab/>
      </w:r>
      <w:r>
        <w:tab/>
        <w:t>TURP syndrome</w:t>
      </w:r>
    </w:p>
    <w:p w:rsidR="00E80B5E" w:rsidRDefault="00E80B5E" w:rsidP="00011BF0">
      <w:pPr>
        <w:pStyle w:val="NoSpacing"/>
      </w:pPr>
      <w:r>
        <w:tab/>
      </w:r>
      <w:r>
        <w:tab/>
      </w:r>
      <w:r>
        <w:tab/>
      </w:r>
      <w:r>
        <w:tab/>
      </w:r>
      <w:r>
        <w:tab/>
      </w:r>
      <w:r>
        <w:tab/>
        <w:t>Excessive drinking</w:t>
      </w:r>
    </w:p>
    <w:p w:rsidR="00E80B5E" w:rsidRDefault="00E80B5E" w:rsidP="00011BF0">
      <w:pPr>
        <w:pStyle w:val="NoSpacing"/>
      </w:pPr>
      <w:r>
        <w:tab/>
      </w:r>
      <w:r>
        <w:tab/>
      </w:r>
      <w:r>
        <w:tab/>
      </w:r>
      <w:r>
        <w:tab/>
      </w:r>
      <w:r>
        <w:tab/>
      </w:r>
      <w:r>
        <w:tab/>
        <w:t>SIADH</w:t>
      </w:r>
    </w:p>
    <w:p w:rsidR="00E80B5E" w:rsidRDefault="00E80B5E" w:rsidP="00011BF0">
      <w:pPr>
        <w:pStyle w:val="NoSpacing"/>
      </w:pPr>
      <w:r>
        <w:tab/>
      </w:r>
      <w:r>
        <w:tab/>
      </w:r>
      <w:r>
        <w:tab/>
      </w:r>
      <w:r>
        <w:tab/>
      </w:r>
      <w:r>
        <w:tab/>
      </w:r>
      <w:r>
        <w:tab/>
        <w:t>Drugs</w:t>
      </w:r>
    </w:p>
    <w:p w:rsidR="00E80B5E" w:rsidRDefault="00E80B5E" w:rsidP="00011BF0">
      <w:pPr>
        <w:pStyle w:val="NoSpacing"/>
      </w:pPr>
      <w:r>
        <w:tab/>
      </w:r>
      <w:r>
        <w:tab/>
      </w:r>
      <w:r>
        <w:tab/>
      </w:r>
      <w:r>
        <w:tab/>
      </w:r>
      <w:r>
        <w:tab/>
      </w:r>
      <w:r>
        <w:tab/>
        <w:t>Nephrotic syndrome</w:t>
      </w:r>
    </w:p>
    <w:p w:rsidR="00E80B5E" w:rsidRDefault="00E80B5E" w:rsidP="00011BF0">
      <w:pPr>
        <w:pStyle w:val="NoSpacing"/>
      </w:pPr>
      <w:r>
        <w:t>Hyponatraemia and dehydration</w:t>
      </w:r>
      <w:r>
        <w:tab/>
      </w:r>
      <w:r>
        <w:tab/>
        <w:t>Diuretics</w:t>
      </w:r>
    </w:p>
    <w:p w:rsidR="00E80B5E" w:rsidRDefault="00E80B5E" w:rsidP="00011BF0">
      <w:pPr>
        <w:pStyle w:val="NoSpacing"/>
      </w:pPr>
      <w:r>
        <w:tab/>
      </w:r>
      <w:r>
        <w:tab/>
      </w:r>
      <w:r>
        <w:tab/>
      </w:r>
      <w:r>
        <w:tab/>
      </w:r>
      <w:r>
        <w:tab/>
      </w:r>
      <w:r>
        <w:tab/>
        <w:t>Hypoadrenalism</w:t>
      </w:r>
    </w:p>
    <w:p w:rsidR="00E80B5E" w:rsidRDefault="00E80B5E" w:rsidP="00011BF0">
      <w:pPr>
        <w:pStyle w:val="NoSpacing"/>
      </w:pPr>
      <w:r>
        <w:tab/>
      </w:r>
      <w:r>
        <w:tab/>
      </w:r>
      <w:r>
        <w:tab/>
      </w:r>
      <w:r>
        <w:tab/>
      </w:r>
      <w:r>
        <w:tab/>
      </w:r>
      <w:r>
        <w:tab/>
        <w:t>Cerebral salt-wasting</w:t>
      </w:r>
    </w:p>
    <w:p w:rsidR="00E80B5E" w:rsidRDefault="00E80B5E" w:rsidP="00011BF0">
      <w:pPr>
        <w:pStyle w:val="NoSpacing"/>
      </w:pPr>
      <w:r>
        <w:tab/>
      </w:r>
      <w:r>
        <w:tab/>
      </w:r>
      <w:r>
        <w:tab/>
      </w:r>
      <w:r>
        <w:tab/>
      </w:r>
      <w:r>
        <w:tab/>
      </w:r>
      <w:r>
        <w:tab/>
        <w:t>Nephritis</w:t>
      </w:r>
    </w:p>
    <w:p w:rsidR="00E80B5E" w:rsidRDefault="00E80B5E" w:rsidP="00011BF0">
      <w:pPr>
        <w:pStyle w:val="NoSpacing"/>
      </w:pPr>
      <w:r>
        <w:tab/>
      </w:r>
      <w:r>
        <w:tab/>
      </w:r>
      <w:r>
        <w:tab/>
      </w:r>
      <w:r>
        <w:tab/>
      </w:r>
      <w:r>
        <w:tab/>
      </w:r>
      <w:r>
        <w:tab/>
        <w:t>Diarrhoea, vomiting</w:t>
      </w:r>
    </w:p>
    <w:p w:rsidR="00E80B5E" w:rsidRDefault="00E80B5E" w:rsidP="00011BF0">
      <w:pPr>
        <w:pStyle w:val="NoSpacing"/>
      </w:pPr>
      <w:r>
        <w:tab/>
      </w:r>
      <w:r>
        <w:tab/>
      </w:r>
      <w:r>
        <w:tab/>
      </w:r>
      <w:r>
        <w:tab/>
      </w:r>
      <w:r>
        <w:tab/>
      </w:r>
      <w:r>
        <w:tab/>
        <w:t>Pancreatitis</w:t>
      </w:r>
    </w:p>
    <w:p w:rsidR="00E80B5E" w:rsidRDefault="00E80B5E" w:rsidP="00011BF0">
      <w:pPr>
        <w:pStyle w:val="NoSpacing"/>
        <w:pBdr>
          <w:bottom w:val="single" w:sz="6" w:space="1" w:color="auto"/>
        </w:pBdr>
      </w:pPr>
      <w:r>
        <w:tab/>
      </w:r>
      <w:r>
        <w:tab/>
      </w:r>
      <w:r>
        <w:tab/>
      </w:r>
      <w:r>
        <w:tab/>
      </w:r>
      <w:r>
        <w:tab/>
      </w:r>
      <w:r>
        <w:tab/>
        <w:t>Renal tubular acidosis</w:t>
      </w:r>
    </w:p>
    <w:p w:rsidR="00E80B5E" w:rsidRDefault="00E80B5E" w:rsidP="00011BF0">
      <w:pPr>
        <w:pStyle w:val="NoSpacing"/>
      </w:pPr>
    </w:p>
    <w:p w:rsidR="00E80B5E" w:rsidRDefault="009E5B6E" w:rsidP="00E80B5E">
      <w:pPr>
        <w:pStyle w:val="NoSpacing"/>
        <w:jc w:val="both"/>
      </w:pPr>
      <w:r>
        <w:t>a</w:t>
      </w:r>
      <w:r w:rsidR="00E80B5E">
        <w:t>nd macrovascular disease.  An anaesthetized patient will not display all the clinical signs of glucose abnormality.</w:t>
      </w:r>
    </w:p>
    <w:p w:rsidR="009E5B6E" w:rsidRDefault="009E5B6E" w:rsidP="00E80B5E">
      <w:pPr>
        <w:pStyle w:val="NoSpacing"/>
        <w:jc w:val="both"/>
      </w:pPr>
    </w:p>
    <w:p w:rsidR="00E80B5E" w:rsidRPr="00E80B5E" w:rsidRDefault="00E80B5E" w:rsidP="00E80B5E">
      <w:pPr>
        <w:pStyle w:val="NoSpacing"/>
        <w:jc w:val="both"/>
        <w:rPr>
          <w:b/>
        </w:rPr>
      </w:pPr>
      <w:r w:rsidRPr="00E80B5E">
        <w:rPr>
          <w:b/>
        </w:rPr>
        <w:t>Hyponatraemia</w:t>
      </w:r>
    </w:p>
    <w:p w:rsidR="00E80B5E" w:rsidRDefault="00E80B5E" w:rsidP="00E80B5E">
      <w:pPr>
        <w:pStyle w:val="NoSpacing"/>
        <w:jc w:val="both"/>
      </w:pPr>
    </w:p>
    <w:p w:rsidR="00B76681" w:rsidRDefault="00E80B5E" w:rsidP="00627D2A">
      <w:pPr>
        <w:ind w:firstLine="720"/>
        <w:jc w:val="both"/>
      </w:pPr>
      <w:r>
        <w:t>Mild hyponatraemia is usually asymptomatic, but serum sodium concentration &lt;120 mmol litre</w:t>
      </w:r>
      <w:r w:rsidRPr="00E80B5E">
        <w:rPr>
          <w:vertAlign w:val="superscript"/>
        </w:rPr>
        <w:t>-1</w:t>
      </w:r>
      <w:r>
        <w:t xml:space="preserve"> will cause confusion and irritability.  Serum sodium concentration &lt;110 mmol litre</w:t>
      </w:r>
      <w:r w:rsidRPr="00E80B5E">
        <w:rPr>
          <w:vertAlign w:val="superscript"/>
        </w:rPr>
        <w:t>-1</w:t>
      </w:r>
      <w:r>
        <w:t xml:space="preserve"> causes seizures, coma and increased mortality.  The causes of a hyponatraemia are multiple; however, those pertinent to anaesthesia are the conditions that may develop during operation.  Inappropirate anti-diuretic hormone secretion (SIDAH) can </w:t>
      </w:r>
      <w:r w:rsidR="00D10BB0">
        <w:t>result from brain trauma, subarachno</w:t>
      </w:r>
      <w:r w:rsidR="00627D2A">
        <w:t>i</w:t>
      </w:r>
      <w:r w:rsidR="00D10BB0">
        <w:t xml:space="preserve">d </w:t>
      </w:r>
      <w:r w:rsidR="00B76681">
        <w:t>heamorrhage and administration of drugs (e.g. opioids, haloperidol, vasopressin). Cerebral salt-wasting syndrome may also occur in the brain-injured patient, and infusion of mannitol ca</w:t>
      </w:r>
      <w:r w:rsidR="00D55AC3">
        <w:t>n dehydrate.  Cerebral</w:t>
      </w:r>
      <w:r w:rsidR="009E5B6E">
        <w:t xml:space="preserve"> salt-wast</w:t>
      </w:r>
      <w:r w:rsidR="00B76681">
        <w:t>ing syndrome describes sodium loss from the ki</w:t>
      </w:r>
      <w:r w:rsidR="00D55AC3">
        <w:t>dneys in association with intrac</w:t>
      </w:r>
      <w:r w:rsidR="00B76681">
        <w:t>ranial pathology, thought to be mediated by atrial natriuretic peptide secretion.  Cerebral oedema results in cerebral irritation and coma.</w:t>
      </w:r>
    </w:p>
    <w:p w:rsidR="00376DCD" w:rsidRDefault="00B76681" w:rsidP="007D6A97">
      <w:pPr>
        <w:jc w:val="both"/>
      </w:pPr>
      <w:r>
        <w:tab/>
        <w:t xml:space="preserve">Fluid overload and </w:t>
      </w:r>
      <w:r w:rsidR="00627D2A">
        <w:t>hyponatraemia</w:t>
      </w:r>
      <w:r>
        <w:t xml:space="preserve"> may occur when large volumes of irrigation fluid (glycine solution) are absorbed by open venous sinuses during trans-uretharal resection of the prostate (TURP), that is TURP syndrome.  Glycine is a hypotonic solution </w:t>
      </w:r>
      <w:r w:rsidR="001C4DDE">
        <w:t>(220 mmol litre-1).  The result is hyponatraemia, pulmonary oedema and cerebral oedema causing variable cerebral signs, including coma.  Intensive resuscitation and management is required.</w:t>
      </w:r>
      <w:r w:rsidR="00011BF0">
        <w:tab/>
      </w:r>
    </w:p>
    <w:p w:rsidR="00376DCD" w:rsidRDefault="00376DCD" w:rsidP="00627D2A">
      <w:pPr>
        <w:ind w:firstLine="720"/>
        <w:jc w:val="both"/>
      </w:pPr>
      <w:r>
        <w:t xml:space="preserve">Extreme </w:t>
      </w:r>
      <w:r w:rsidR="00627D2A">
        <w:t>hyponatraemia</w:t>
      </w:r>
      <w:r>
        <w:t xml:space="preserve"> is less likely to occur in the post-operative environment; however, sodium excess results in a cellular dehydration including cerebral dehydration, ruptured vessels and intracranial hae</w:t>
      </w:r>
      <w:r w:rsidR="00D55AC3">
        <w:t>morrhage.  Symptoms include thir</w:t>
      </w:r>
      <w:r>
        <w:t>st, drowsiness, confusion and coma.</w:t>
      </w:r>
    </w:p>
    <w:p w:rsidR="00376DCD" w:rsidRPr="00376DCD" w:rsidRDefault="00376DCD" w:rsidP="007D6A97">
      <w:pPr>
        <w:jc w:val="both"/>
        <w:rPr>
          <w:b/>
        </w:rPr>
      </w:pPr>
      <w:r w:rsidRPr="00376DCD">
        <w:rPr>
          <w:b/>
        </w:rPr>
        <w:t>Uraemia</w:t>
      </w:r>
    </w:p>
    <w:p w:rsidR="00376DCD" w:rsidRDefault="00376DCD" w:rsidP="00627D2A">
      <w:pPr>
        <w:ind w:firstLine="720"/>
        <w:jc w:val="both"/>
      </w:pPr>
      <w:r>
        <w:t>Uraemia results in dehydration and cerebral effects attributable to cellular damage and distortion.  The clinical effects of uraemia are varied, but intracerebral changes may produce drowsiness confusion and coma.</w:t>
      </w:r>
    </w:p>
    <w:p w:rsidR="00376DCD" w:rsidRPr="00376DCD" w:rsidRDefault="00376DCD" w:rsidP="007D6A97">
      <w:pPr>
        <w:jc w:val="both"/>
        <w:rPr>
          <w:b/>
        </w:rPr>
      </w:pPr>
      <w:r w:rsidRPr="00376DCD">
        <w:rPr>
          <w:b/>
        </w:rPr>
        <w:t>Hypothermia</w:t>
      </w:r>
    </w:p>
    <w:p w:rsidR="00011BF0" w:rsidRDefault="00703DBB" w:rsidP="00627D2A">
      <w:pPr>
        <w:ind w:firstLine="720"/>
        <w:jc w:val="both"/>
      </w:pPr>
      <w:r>
        <w:lastRenderedPageBreak/>
        <w:t xml:space="preserve">The effects of hypothermia are multiple and </w:t>
      </w:r>
      <w:r w:rsidR="003B02F7">
        <w:t>widespread throughout the body.  Neurological and respiratory changes occur with decreasing temperature, e.g., confusion (&lt;35°C), unconsciousness (&lt;30°C), apnoea (&lt;24°C), absent cerebral activity (&lt;18°C).  The direct hypothermic effects on brain tissue are compounded by cardiovascular and respiratory disturbance at less p</w:t>
      </w:r>
      <w:r w:rsidR="008705F2">
        <w:t>r</w:t>
      </w:r>
      <w:r w:rsidR="003B02F7">
        <w:t>ofound degrees of hypothermia.  Cardiac output decreases with a decrease in  temperature and arrhythmias occur.  Low cardiac output affects circulation and drug pharmacokinetics, as well as tissue perfusion.</w:t>
      </w:r>
      <w:r w:rsidR="00011BF0">
        <w:tab/>
      </w:r>
      <w:r w:rsidR="00011BF0">
        <w:tab/>
      </w:r>
      <w:r w:rsidR="00011BF0">
        <w:tab/>
      </w:r>
      <w:r w:rsidR="00011BF0">
        <w:tab/>
      </w:r>
    </w:p>
    <w:p w:rsidR="00073ABB" w:rsidRPr="008705F2" w:rsidRDefault="00073ABB" w:rsidP="007D6A97">
      <w:pPr>
        <w:jc w:val="both"/>
        <w:rPr>
          <w:b/>
        </w:rPr>
      </w:pPr>
      <w:r w:rsidRPr="008705F2">
        <w:rPr>
          <w:b/>
        </w:rPr>
        <w:t xml:space="preserve">Respiratory </w:t>
      </w:r>
      <w:r w:rsidR="00627D2A">
        <w:rPr>
          <w:b/>
        </w:rPr>
        <w:t xml:space="preserve"> </w:t>
      </w:r>
      <w:r w:rsidRPr="008705F2">
        <w:rPr>
          <w:b/>
        </w:rPr>
        <w:t>failure</w:t>
      </w:r>
    </w:p>
    <w:p w:rsidR="00073ABB" w:rsidRDefault="00073ABB" w:rsidP="007D6A97">
      <w:pPr>
        <w:jc w:val="both"/>
      </w:pPr>
      <w:r>
        <w:t>Postoperative respiratory failure causes hypoxaemia, hypercapnia, or both.  The causes of respiratory failure are multiple and may be classified into neurological, pulmonary, and muscular.  Central drive is lost during drug overdose, with intracranial pathology and in patients with chronic obstructive pulmonary disease or sleep apnoea.  Ventilation is affected by primary muscle problems, metabolic imbalance, obesity and residual neuromuscular block.  Pulmonary disease states result in various admixture, dead space, or both and include pulmonary embolism, atelectasis, obstruction, aspiration, consolidation, acute respiratory distress syndrome and transfusion-related acute lung injury.  These varied problems may cause or exacerbate postoperative respiratory failure.</w:t>
      </w:r>
    </w:p>
    <w:p w:rsidR="00627D2A" w:rsidRDefault="00073ABB" w:rsidP="00627D2A">
      <w:pPr>
        <w:pStyle w:val="NoSpacing"/>
        <w:jc w:val="both"/>
      </w:pPr>
      <w:r>
        <w:tab/>
        <w:t>Hypoxaemia, through resulting cerebral hypoxia, wi</w:t>
      </w:r>
      <w:r w:rsidR="007254F2">
        <w:t>ll depress cerebral function, ul</w:t>
      </w:r>
      <w:r>
        <w:t>timately causing cell death.  Cerebral damage results from lactic acid production, free radical accumulation, and release of intracell</w:t>
      </w:r>
      <w:r w:rsidR="00627D2A">
        <w:t>ular metabolic</w:t>
      </w:r>
      <w:r>
        <w:t>s.</w:t>
      </w:r>
      <w:r w:rsidR="00627D2A">
        <w:t xml:space="preserve"> Hypoxaemia with continuing blood supply causes less damage than complete interruption of perfusion, because toxins are removed.</w:t>
      </w:r>
    </w:p>
    <w:p w:rsidR="00073ABB" w:rsidRDefault="00073ABB" w:rsidP="007D6A97">
      <w:pPr>
        <w:jc w:val="both"/>
      </w:pPr>
    </w:p>
    <w:p w:rsidR="00627D2A" w:rsidRDefault="00627D2A" w:rsidP="00627D2A">
      <w:pPr>
        <w:pStyle w:val="NoSpacing"/>
        <w:ind w:firstLine="720"/>
        <w:jc w:val="both"/>
      </w:pPr>
      <w:r>
        <w:t xml:space="preserve">Hypercapnia, detected by central chemoreceptors,  initially stimulates respiration but thereafter depresses the regulatory respiratory centres of the brain causing hypoventilation and apnoea. Respiratory acidosis results from hypoventilation rendering the patient acidaemic.  Hypercapnia in a head-injured patient with impared cerebral </w:t>
      </w:r>
      <w:proofErr w:type="spellStart"/>
      <w:r>
        <w:t>autoregula</w:t>
      </w:r>
      <w:r w:rsidR="007254F2">
        <w:t>tion</w:t>
      </w:r>
      <w:proofErr w:type="spellEnd"/>
      <w:r w:rsidR="007254F2">
        <w:t xml:space="preserve"> causes vas</w:t>
      </w:r>
      <w:r>
        <w:t>odilatation and a consequent increase in intracranial pressure which may result in secondary brain injury.</w:t>
      </w:r>
    </w:p>
    <w:p w:rsidR="00627D2A" w:rsidRDefault="00627D2A" w:rsidP="00627D2A">
      <w:pPr>
        <w:pStyle w:val="NoSpacing"/>
        <w:jc w:val="both"/>
      </w:pPr>
    </w:p>
    <w:p w:rsidR="00627D2A" w:rsidRPr="00DD6D1B" w:rsidRDefault="00627D2A" w:rsidP="00627D2A">
      <w:pPr>
        <w:pStyle w:val="NoSpacing"/>
        <w:jc w:val="both"/>
        <w:rPr>
          <w:b/>
        </w:rPr>
      </w:pPr>
      <w:r>
        <w:rPr>
          <w:b/>
        </w:rPr>
        <w:t>N</w:t>
      </w:r>
      <w:r w:rsidRPr="00DD6D1B">
        <w:rPr>
          <w:b/>
        </w:rPr>
        <w:t>eurological causes</w:t>
      </w:r>
    </w:p>
    <w:p w:rsidR="00627D2A" w:rsidRDefault="00627D2A" w:rsidP="00627D2A">
      <w:pPr>
        <w:pStyle w:val="NoSpacing"/>
        <w:jc w:val="both"/>
      </w:pPr>
    </w:p>
    <w:p w:rsidR="00627D2A" w:rsidRDefault="00627D2A" w:rsidP="00627D2A">
      <w:pPr>
        <w:pStyle w:val="NoSpacing"/>
        <w:ind w:firstLine="720"/>
        <w:jc w:val="both"/>
      </w:pPr>
      <w:r>
        <w:t>Diverse pathologies can precipitate intraoperative cerebral insult, causing coma.  The common mechanism is ischaemic brain destruction.  Periods of hypoxaemia or ischaemia may occur during surgery; these are often a result of inadequate cerebral perfusion secondary to low mean arterial pressure (MAP).  Cerebral autoregulation in the normal brain occurs between 60 a</w:t>
      </w:r>
      <w:r w:rsidR="007254F2">
        <w:t>nd 160 mm</w:t>
      </w:r>
      <w:r>
        <w:t xml:space="preserve"> Hg MAP.  Carotid surgery and operations in a sitting position present a high risk of hypoperfusion.  Intracranial haemorrhage, thrombosis or infarction can occur in association with intraoperative arrhythmias, hypo- or hypertension, or in patients with abnormal cerebral vasculature.  The outcome from ischaemic events varies between discrete functional deficits, hemiparesis and coma.  Secondary brain injury is prevented by impeccable monitoring and management of primary brain injuries.  In the brain with impaires autoregulation, injury may be caused </w:t>
      </w:r>
      <w:r w:rsidR="007254F2">
        <w:t>b</w:t>
      </w:r>
      <w:r>
        <w:t xml:space="preserve">y </w:t>
      </w:r>
      <w:proofErr w:type="spellStart"/>
      <w:r>
        <w:t>hypercapnia</w:t>
      </w:r>
      <w:proofErr w:type="spellEnd"/>
      <w:r>
        <w:t xml:space="preserve">, </w:t>
      </w:r>
      <w:proofErr w:type="spellStart"/>
      <w:r>
        <w:t>hypoxaemia</w:t>
      </w:r>
      <w:proofErr w:type="spellEnd"/>
      <w:r>
        <w:t>, low MAP and increased metabolic rate.  This may worsen preoperative neurological deficits.  Cerebral hypoxaemia may result when epileptic seizures are marked by neuromuscular block, and from intr</w:t>
      </w:r>
      <w:r w:rsidR="007254F2">
        <w:t>aoperative air embolism.  Finally</w:t>
      </w:r>
      <w:r>
        <w:t xml:space="preserve">, the spread of intracranial local </w:t>
      </w:r>
      <w:proofErr w:type="gramStart"/>
      <w:r>
        <w:t>anaesthetic  can</w:t>
      </w:r>
      <w:proofErr w:type="gramEnd"/>
      <w:r>
        <w:t xml:space="preserve"> cause unconsciousness.</w:t>
      </w:r>
    </w:p>
    <w:p w:rsidR="00627D2A" w:rsidRDefault="00627D2A" w:rsidP="007D6A97">
      <w:pPr>
        <w:jc w:val="both"/>
      </w:pPr>
    </w:p>
    <w:p w:rsidR="00627D2A" w:rsidRDefault="00627D2A" w:rsidP="007D6A97">
      <w:pPr>
        <w:jc w:val="both"/>
      </w:pPr>
    </w:p>
    <w:p w:rsidR="00627D2A" w:rsidRDefault="00627D2A" w:rsidP="007D6A97">
      <w:pPr>
        <w:jc w:val="both"/>
      </w:pPr>
    </w:p>
    <w:p w:rsidR="00627D2A" w:rsidRDefault="00627D2A" w:rsidP="007D6A97">
      <w:pPr>
        <w:jc w:val="both"/>
      </w:pPr>
    </w:p>
    <w:p w:rsidR="008705F2" w:rsidRDefault="008705F2" w:rsidP="008705F2">
      <w:pPr>
        <w:pStyle w:val="NoSpacing"/>
        <w:jc w:val="both"/>
      </w:pPr>
      <w:r w:rsidRPr="00DD6D1B">
        <w:rPr>
          <w:b/>
        </w:rPr>
        <w:t>A Stepwise approach to the patient with prolonged unconsciousness.</w:t>
      </w:r>
    </w:p>
    <w:p w:rsidR="00073ABB" w:rsidRDefault="00462ECA" w:rsidP="007D6A97">
      <w:pPr>
        <w:jc w:val="both"/>
      </w:pPr>
      <w:r w:rsidRPr="00462ECA">
        <w:rPr>
          <w:noProof/>
        </w:rPr>
        <w:pict>
          <v:shapetype id="_x0000_t202" coordsize="21600,21600" o:spt="202" path="m,l,21600r21600,l21600,xe">
            <v:stroke joinstyle="miter"/>
            <v:path gradientshapeok="t" o:connecttype="rect"/>
          </v:shapetype>
          <v:shape id="_x0000_s1027" type="#_x0000_t202" style="position:absolute;left:0;text-align:left;margin-left:279pt;margin-top:11.7pt;width:158.25pt;height:48pt;z-index:251659264">
            <v:textbox style="mso-next-textbox:#_x0000_s1027">
              <w:txbxContent>
                <w:p w:rsidR="00073ABB" w:rsidRPr="00073ABB" w:rsidRDefault="00073ABB" w:rsidP="00073ABB">
                  <w:pPr>
                    <w:pStyle w:val="NoSpacing"/>
                    <w:rPr>
                      <w:sz w:val="20"/>
                      <w:szCs w:val="20"/>
                    </w:rPr>
                  </w:pPr>
                  <w:proofErr w:type="gramStart"/>
                  <w:r w:rsidRPr="00073ABB">
                    <w:rPr>
                      <w:sz w:val="20"/>
                      <w:szCs w:val="20"/>
                    </w:rPr>
                    <w:t>100% Oxygen, airway adjuncts, manual ventilation.</w:t>
                  </w:r>
                  <w:proofErr w:type="gramEnd"/>
                </w:p>
                <w:p w:rsidR="00073ABB" w:rsidRPr="00073ABB" w:rsidRDefault="00073ABB">
                  <w:pPr>
                    <w:rPr>
                      <w:sz w:val="20"/>
                      <w:szCs w:val="20"/>
                    </w:rPr>
                  </w:pPr>
                  <w:r>
                    <w:rPr>
                      <w:sz w:val="20"/>
                      <w:szCs w:val="20"/>
                    </w:rPr>
                    <w:t>I</w:t>
                  </w:r>
                  <w:r w:rsidRPr="00073ABB">
                    <w:rPr>
                      <w:sz w:val="20"/>
                      <w:szCs w:val="20"/>
                    </w:rPr>
                    <w:t xml:space="preserve">s the airway </w:t>
                  </w:r>
                  <w:proofErr w:type="gramStart"/>
                  <w:r w:rsidRPr="00073ABB">
                    <w:rPr>
                      <w:sz w:val="20"/>
                      <w:szCs w:val="20"/>
                    </w:rPr>
                    <w:t>protected</w:t>
                  </w:r>
                  <w:proofErr w:type="gramEnd"/>
                </w:p>
              </w:txbxContent>
            </v:textbox>
          </v:shape>
        </w:pict>
      </w:r>
      <w:r w:rsidRPr="00462ECA">
        <w:rPr>
          <w:noProof/>
        </w:rPr>
        <w:pict>
          <v:shape id="_x0000_s1026" type="#_x0000_t202" style="position:absolute;left:0;text-align:left;margin-left:15pt;margin-top:19.95pt;width:193.5pt;height:39.75pt;z-index:251658240">
            <v:textbox style="mso-next-textbox:#_x0000_s1026">
              <w:txbxContent>
                <w:p w:rsidR="00EA0305" w:rsidRDefault="00073ABB" w:rsidP="00EA0305">
                  <w:pPr>
                    <w:pStyle w:val="NoSpacing"/>
                    <w:jc w:val="center"/>
                  </w:pPr>
                  <w:r w:rsidRPr="00073ABB">
                    <w:t>Rapid assessment of</w:t>
                  </w:r>
                </w:p>
                <w:p w:rsidR="00073ABB" w:rsidRPr="00073ABB" w:rsidRDefault="00073ABB" w:rsidP="00073ABB">
                  <w:pPr>
                    <w:jc w:val="center"/>
                    <w:rPr>
                      <w:sz w:val="20"/>
                      <w:szCs w:val="20"/>
                    </w:rPr>
                  </w:pPr>
                  <w:r w:rsidRPr="00073ABB">
                    <w:rPr>
                      <w:sz w:val="20"/>
                      <w:szCs w:val="20"/>
                    </w:rPr>
                    <w:t>A B C</w:t>
                  </w:r>
                </w:p>
              </w:txbxContent>
            </v:textbox>
          </v:shape>
        </w:pict>
      </w:r>
    </w:p>
    <w:p w:rsidR="00073ABB" w:rsidRDefault="00462ECA" w:rsidP="007D6A97">
      <w:pPr>
        <w:jc w:val="both"/>
      </w:pPr>
      <w:r w:rsidRPr="00462ECA">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5" type="#_x0000_t13" style="position:absolute;left:0;text-align:left;margin-left:214.5pt;margin-top:12.05pt;width:60.75pt;height:8.25pt;z-index:251683840"/>
        </w:pict>
      </w:r>
    </w:p>
    <w:p w:rsidR="00073ABB" w:rsidRPr="007D6A97" w:rsidRDefault="00462ECA" w:rsidP="007D6A97">
      <w:pPr>
        <w:jc w:val="both"/>
      </w:pPr>
      <w:r w:rsidRPr="00462ECA">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98.25pt;margin-top:8.8pt;width:7.15pt;height:40.55pt;z-index:251673600">
            <v:textbox style="layout-flow:vertical-ideographic"/>
          </v:shape>
        </w:pict>
      </w:r>
      <w:r w:rsidR="00073ABB">
        <w:tab/>
      </w:r>
    </w:p>
    <w:p w:rsidR="007D6A97" w:rsidRDefault="00462ECA" w:rsidP="008161C5">
      <w:pPr>
        <w:jc w:val="both"/>
      </w:pPr>
      <w:r w:rsidRPr="00462ECA">
        <w:rPr>
          <w:noProof/>
        </w:rPr>
        <w:pict>
          <v:shape id="_x0000_s1029" type="#_x0000_t202" style="position:absolute;left:0;text-align:left;margin-left:11.25pt;margin-top:23.9pt;width:197.25pt;height:36pt;z-index:251660288">
            <v:textbox>
              <w:txbxContent>
                <w:p w:rsidR="00EA0305" w:rsidRDefault="00EA0305" w:rsidP="00EA0305">
                  <w:pPr>
                    <w:pStyle w:val="NoSpacing"/>
                    <w:jc w:val="center"/>
                  </w:pPr>
                  <w:r w:rsidRPr="00EA0305">
                    <w:t>Assess GCS</w:t>
                  </w:r>
                </w:p>
                <w:p w:rsidR="00EA0305" w:rsidRPr="00EA0305" w:rsidRDefault="00EA0305" w:rsidP="00EA0305">
                  <w:pPr>
                    <w:jc w:val="center"/>
                    <w:rPr>
                      <w:sz w:val="20"/>
                      <w:szCs w:val="20"/>
                    </w:rPr>
                  </w:pPr>
                  <w:r w:rsidRPr="00EA0305">
                    <w:rPr>
                      <w:sz w:val="20"/>
                      <w:szCs w:val="20"/>
                    </w:rPr>
                    <w:t>Stimulate t</w:t>
                  </w:r>
                  <w:r>
                    <w:rPr>
                      <w:sz w:val="20"/>
                      <w:szCs w:val="20"/>
                    </w:rPr>
                    <w:t>h</w:t>
                  </w:r>
                  <w:r w:rsidRPr="00EA0305">
                    <w:rPr>
                      <w:sz w:val="20"/>
                      <w:szCs w:val="20"/>
                    </w:rPr>
                    <w:t>e patient</w:t>
                  </w:r>
                </w:p>
              </w:txbxContent>
            </v:textbox>
          </v:shape>
        </w:pict>
      </w:r>
    </w:p>
    <w:p w:rsidR="008161C5" w:rsidRDefault="008161C5"/>
    <w:p w:rsidR="008161C5" w:rsidRDefault="00462ECA" w:rsidP="008161C5">
      <w:pPr>
        <w:pStyle w:val="NoSpacing"/>
        <w:jc w:val="both"/>
      </w:pPr>
      <w:r w:rsidRPr="00462ECA">
        <w:rPr>
          <w:noProof/>
        </w:rPr>
        <w:pict>
          <v:shape id="_x0000_s1045" type="#_x0000_t67" style="position:absolute;left:0;text-align:left;margin-left:98.25pt;margin-top:9.05pt;width:7.15pt;height:39.3pt;z-index:251674624">
            <v:textbox style="layout-flow:vertical-ideographic"/>
          </v:shape>
        </w:pict>
      </w:r>
    </w:p>
    <w:p w:rsidR="00EA0305" w:rsidRDefault="00EA0305" w:rsidP="009707EB">
      <w:pPr>
        <w:pStyle w:val="NoSpacing"/>
        <w:jc w:val="both"/>
      </w:pPr>
    </w:p>
    <w:p w:rsidR="00EA0305" w:rsidRDefault="00EA0305" w:rsidP="009707EB">
      <w:pPr>
        <w:pStyle w:val="NoSpacing"/>
        <w:jc w:val="both"/>
      </w:pPr>
    </w:p>
    <w:p w:rsidR="00EA0305" w:rsidRDefault="00462ECA" w:rsidP="009707EB">
      <w:pPr>
        <w:pStyle w:val="NoSpacing"/>
        <w:jc w:val="both"/>
      </w:pPr>
      <w:r w:rsidRPr="00462ECA">
        <w:rPr>
          <w:noProof/>
        </w:rPr>
        <w:pict>
          <v:shape id="_x0000_s1032" type="#_x0000_t202" style="position:absolute;left:0;text-align:left;margin-left:279pt;margin-top:7.3pt;width:158.25pt;height:75.75pt;z-index:251662336">
            <v:textbox>
              <w:txbxContent>
                <w:p w:rsidR="00EA0305" w:rsidRDefault="00EA0305" w:rsidP="00EA0305">
                  <w:pPr>
                    <w:pStyle w:val="NoSpacing"/>
                    <w:jc w:val="center"/>
                  </w:pPr>
                  <w:r>
                    <w:t>Consider:</w:t>
                  </w:r>
                </w:p>
                <w:p w:rsidR="00EA0305" w:rsidRDefault="00EA0305" w:rsidP="00EA0305">
                  <w:pPr>
                    <w:pStyle w:val="NoSpacing"/>
                    <w:jc w:val="center"/>
                  </w:pPr>
                  <w:proofErr w:type="spellStart"/>
                  <w:r>
                    <w:t>Naloxone</w:t>
                  </w:r>
                  <w:proofErr w:type="spellEnd"/>
                </w:p>
                <w:p w:rsidR="00EA0305" w:rsidRDefault="007254F2" w:rsidP="00EA0305">
                  <w:pPr>
                    <w:pStyle w:val="NoSpacing"/>
                    <w:jc w:val="center"/>
                  </w:pPr>
                  <w:proofErr w:type="spellStart"/>
                  <w:r>
                    <w:t>Flumaz</w:t>
                  </w:r>
                  <w:r w:rsidR="00EA0305">
                    <w:t>enil</w:t>
                  </w:r>
                  <w:proofErr w:type="spellEnd"/>
                </w:p>
                <w:p w:rsidR="00EA0305" w:rsidRDefault="00EA0305" w:rsidP="00EA0305">
                  <w:pPr>
                    <w:pStyle w:val="NoSpacing"/>
                    <w:jc w:val="center"/>
                  </w:pPr>
                  <w:proofErr w:type="spellStart"/>
                  <w:r>
                    <w:t>Neostigmine</w:t>
                  </w:r>
                  <w:proofErr w:type="spellEnd"/>
                </w:p>
                <w:p w:rsidR="00EA0305" w:rsidRDefault="00EA0305" w:rsidP="00EA0305">
                  <w:pPr>
                    <w:pStyle w:val="NoSpacing"/>
                    <w:jc w:val="center"/>
                  </w:pPr>
                  <w:proofErr w:type="spellStart"/>
                  <w:r>
                    <w:t>Doxapram</w:t>
                  </w:r>
                  <w:proofErr w:type="spellEnd"/>
                </w:p>
              </w:txbxContent>
            </v:textbox>
          </v:shape>
        </w:pict>
      </w:r>
      <w:r w:rsidRPr="00462ECA">
        <w:rPr>
          <w:noProof/>
        </w:rPr>
        <w:pict>
          <v:shape id="_x0000_s1030" type="#_x0000_t202" style="position:absolute;left:0;text-align:left;margin-left:11.25pt;margin-top:8.05pt;width:197.25pt;height:54.75pt;z-index:251661312">
            <v:textbox>
              <w:txbxContent>
                <w:p w:rsidR="00EA0305" w:rsidRDefault="00EA0305" w:rsidP="00EA0305">
                  <w:pPr>
                    <w:pStyle w:val="NoSpacing"/>
                  </w:pPr>
                  <w:r>
                    <w:t>Review anaesthetic chart</w:t>
                  </w:r>
                </w:p>
                <w:p w:rsidR="00EA0305" w:rsidRDefault="00EA0305" w:rsidP="00EA0305">
                  <w:pPr>
                    <w:pStyle w:val="NoSpacing"/>
                  </w:pPr>
                  <w:r>
                    <w:t>Drugs, timing, interactions</w:t>
                  </w:r>
                </w:p>
                <w:p w:rsidR="00EA0305" w:rsidRDefault="00EA0305" w:rsidP="00EA0305">
                  <w:pPr>
                    <w:pStyle w:val="NoSpacing"/>
                  </w:pPr>
                  <w:r>
                    <w:t>Take account of patient characteristics</w:t>
                  </w:r>
                </w:p>
                <w:p w:rsidR="00EA0305" w:rsidRDefault="00EA0305"/>
              </w:txbxContent>
            </v:textbox>
          </v:shape>
        </w:pict>
      </w:r>
    </w:p>
    <w:p w:rsidR="00EA0305" w:rsidRDefault="00EA0305" w:rsidP="009707EB">
      <w:pPr>
        <w:pStyle w:val="NoSpacing"/>
        <w:jc w:val="both"/>
      </w:pPr>
    </w:p>
    <w:p w:rsidR="00EA0305" w:rsidRDefault="00462ECA" w:rsidP="009707EB">
      <w:pPr>
        <w:pStyle w:val="NoSpacing"/>
        <w:jc w:val="both"/>
      </w:pPr>
      <w:r w:rsidRPr="00462ECA">
        <w:rPr>
          <w:noProof/>
        </w:rPr>
        <w:pict>
          <v:shape id="_x0000_s1054" type="#_x0000_t13" style="position:absolute;left:0;text-align:left;margin-left:214.5pt;margin-top:5.15pt;width:60.75pt;height:9pt;z-index:251682816"/>
        </w:pict>
      </w:r>
    </w:p>
    <w:p w:rsidR="00EA0305" w:rsidRDefault="00EA0305" w:rsidP="009707EB">
      <w:pPr>
        <w:pStyle w:val="NoSpacing"/>
        <w:jc w:val="both"/>
      </w:pPr>
    </w:p>
    <w:p w:rsidR="00EA0305" w:rsidRDefault="00462ECA" w:rsidP="009707EB">
      <w:pPr>
        <w:pStyle w:val="NoSpacing"/>
        <w:jc w:val="both"/>
      </w:pPr>
      <w:r w:rsidRPr="00462ECA">
        <w:rPr>
          <w:noProof/>
        </w:rPr>
        <w:pict>
          <v:shape id="_x0000_s1047" type="#_x0000_t67" style="position:absolute;left:0;text-align:left;margin-left:98.25pt;margin-top:9.1pt;width:7.15pt;height:38.3pt;z-index:251675648">
            <v:textbox style="layout-flow:vertical-ideographic"/>
          </v:shape>
        </w:pict>
      </w:r>
    </w:p>
    <w:p w:rsidR="00EA0305" w:rsidRDefault="00EA0305" w:rsidP="009707EB">
      <w:pPr>
        <w:pStyle w:val="NoSpacing"/>
        <w:jc w:val="both"/>
      </w:pPr>
    </w:p>
    <w:p w:rsidR="00EA0305" w:rsidRDefault="00EA0305" w:rsidP="009707EB">
      <w:pPr>
        <w:pStyle w:val="NoSpacing"/>
        <w:jc w:val="both"/>
      </w:pPr>
    </w:p>
    <w:p w:rsidR="00EA0305" w:rsidRDefault="00462ECA" w:rsidP="009707EB">
      <w:pPr>
        <w:pStyle w:val="NoSpacing"/>
        <w:jc w:val="both"/>
      </w:pPr>
      <w:r w:rsidRPr="00462ECA">
        <w:rPr>
          <w:noProof/>
        </w:rPr>
        <w:pict>
          <v:shape id="_x0000_s1034" type="#_x0000_t202" style="position:absolute;left:0;text-align:left;margin-left:275.25pt;margin-top:6.35pt;width:162pt;height:23.25pt;z-index:251664384">
            <v:textbox>
              <w:txbxContent>
                <w:p w:rsidR="00EA0305" w:rsidRDefault="00EA0305" w:rsidP="00EA0305">
                  <w:pPr>
                    <w:jc w:val="center"/>
                  </w:pPr>
                  <w:r>
                    <w:t>Correct glucose if low or high</w:t>
                  </w:r>
                </w:p>
              </w:txbxContent>
            </v:textbox>
          </v:shape>
        </w:pict>
      </w:r>
      <w:r w:rsidRPr="00462ECA">
        <w:rPr>
          <w:noProof/>
        </w:rPr>
        <w:pict>
          <v:shape id="_x0000_s1033" type="#_x0000_t202" style="position:absolute;left:0;text-align:left;margin-left:15pt;margin-top:7.1pt;width:193.5pt;height:22.5pt;z-index:251663360">
            <v:textbox>
              <w:txbxContent>
                <w:p w:rsidR="00EA0305" w:rsidRDefault="00EA0305" w:rsidP="00EA0305">
                  <w:pPr>
                    <w:jc w:val="center"/>
                  </w:pPr>
                  <w:r>
                    <w:t>Capillary blood glucose</w:t>
                  </w:r>
                </w:p>
              </w:txbxContent>
            </v:textbox>
          </v:shape>
        </w:pict>
      </w:r>
    </w:p>
    <w:p w:rsidR="00EA0305" w:rsidRDefault="00462ECA" w:rsidP="009707EB">
      <w:pPr>
        <w:pStyle w:val="NoSpacing"/>
        <w:jc w:val="both"/>
      </w:pPr>
      <w:r w:rsidRPr="00462ECA">
        <w:rPr>
          <w:noProof/>
        </w:rPr>
        <w:pict>
          <v:shape id="_x0000_s1056" type="#_x0000_t13" style="position:absolute;left:0;text-align:left;margin-left:214.5pt;margin-top:3.35pt;width:60.75pt;height:7.15pt;z-index:251684864"/>
        </w:pict>
      </w:r>
    </w:p>
    <w:p w:rsidR="00EA0305" w:rsidRDefault="00462ECA" w:rsidP="009707EB">
      <w:pPr>
        <w:pStyle w:val="NoSpacing"/>
        <w:jc w:val="both"/>
      </w:pPr>
      <w:r w:rsidRPr="00462ECA">
        <w:rPr>
          <w:noProof/>
        </w:rPr>
        <w:pict>
          <v:shape id="_x0000_s1048" type="#_x0000_t67" style="position:absolute;left:0;text-align:left;margin-left:98.25pt;margin-top:2.75pt;width:7.15pt;height:26.6pt;z-index:251676672">
            <v:textbox style="layout-flow:vertical-ideographic"/>
          </v:shape>
        </w:pict>
      </w:r>
    </w:p>
    <w:p w:rsidR="00EA0305" w:rsidRDefault="00EA0305" w:rsidP="009707EB">
      <w:pPr>
        <w:pStyle w:val="NoSpacing"/>
        <w:jc w:val="both"/>
      </w:pPr>
    </w:p>
    <w:p w:rsidR="00EA0305" w:rsidRDefault="00462ECA" w:rsidP="009707EB">
      <w:pPr>
        <w:pStyle w:val="NoSpacing"/>
        <w:jc w:val="both"/>
      </w:pPr>
      <w:r w:rsidRPr="00462ECA">
        <w:rPr>
          <w:noProof/>
        </w:rPr>
        <w:pict>
          <v:shape id="_x0000_s1057" type="#_x0000_t13" style="position:absolute;left:0;text-align:left;margin-left:214.5pt;margin-top:9.55pt;width:56.25pt;height:10.2pt;z-index:251685888"/>
        </w:pict>
      </w:r>
      <w:r w:rsidRPr="00462ECA">
        <w:rPr>
          <w:noProof/>
        </w:rPr>
        <w:pict>
          <v:shape id="_x0000_s1036" type="#_x0000_t202" style="position:absolute;left:0;text-align:left;margin-left:275.25pt;margin-top:1pt;width:162pt;height:21.75pt;z-index:251666432">
            <v:textbox>
              <w:txbxContent>
                <w:p w:rsidR="00EA0305" w:rsidRDefault="00EA0305" w:rsidP="009C08D2">
                  <w:pPr>
                    <w:jc w:val="center"/>
                  </w:pPr>
                  <w:r>
                    <w:t>Warm if temp&lt;35.5°C</w:t>
                  </w:r>
                </w:p>
              </w:txbxContent>
            </v:textbox>
          </v:shape>
        </w:pict>
      </w:r>
      <w:r w:rsidRPr="00462ECA">
        <w:rPr>
          <w:noProof/>
        </w:rPr>
        <w:pict>
          <v:shape id="_x0000_s1035" type="#_x0000_t202" style="position:absolute;left:0;text-align:left;margin-left:15pt;margin-top:2.5pt;width:193.5pt;height:23.25pt;z-index:251665408">
            <v:textbox>
              <w:txbxContent>
                <w:p w:rsidR="00EA0305" w:rsidRDefault="00EA0305" w:rsidP="00EA0305">
                  <w:pPr>
                    <w:jc w:val="center"/>
                  </w:pPr>
                  <w:r>
                    <w:t>Measure temperature</w:t>
                  </w:r>
                </w:p>
              </w:txbxContent>
            </v:textbox>
          </v:shape>
        </w:pict>
      </w:r>
    </w:p>
    <w:p w:rsidR="00EA0305" w:rsidRDefault="00462ECA" w:rsidP="009707EB">
      <w:pPr>
        <w:pStyle w:val="NoSpacing"/>
        <w:jc w:val="both"/>
      </w:pPr>
      <w:r w:rsidRPr="00462ECA">
        <w:rPr>
          <w:noProof/>
        </w:rPr>
        <w:pict>
          <v:shape id="_x0000_s1049" type="#_x0000_t67" style="position:absolute;left:0;text-align:left;margin-left:98.25pt;margin-top:12.3pt;width:7.15pt;height:30.75pt;z-index:251677696">
            <v:textbox style="layout-flow:vertical-ideographic"/>
          </v:shape>
        </w:pict>
      </w:r>
    </w:p>
    <w:p w:rsidR="00EA0305" w:rsidRDefault="00EA0305" w:rsidP="009707EB">
      <w:pPr>
        <w:pStyle w:val="NoSpacing"/>
        <w:jc w:val="both"/>
      </w:pPr>
    </w:p>
    <w:p w:rsidR="009707EB" w:rsidRDefault="00462ECA" w:rsidP="009707EB">
      <w:pPr>
        <w:pStyle w:val="NoSpacing"/>
        <w:jc w:val="both"/>
      </w:pPr>
      <w:r w:rsidRPr="00462ECA">
        <w:rPr>
          <w:noProof/>
        </w:rPr>
        <w:pict>
          <v:shape id="_x0000_s1038" type="#_x0000_t202" style="position:absolute;left:0;text-align:left;margin-left:275.25pt;margin-top:10.5pt;width:162pt;height:36.75pt;z-index:251668480">
            <v:textbox>
              <w:txbxContent>
                <w:p w:rsidR="009C08D2" w:rsidRDefault="009C08D2" w:rsidP="009C08D2">
                  <w:pPr>
                    <w:jc w:val="center"/>
                  </w:pPr>
                  <w:r>
                    <w:t xml:space="preserve">Correct hypoxia, </w:t>
                  </w:r>
                  <w:proofErr w:type="spellStart"/>
                  <w:r>
                    <w:t>hypercapnia</w:t>
                  </w:r>
                  <w:proofErr w:type="spellEnd"/>
                  <w:r>
                    <w:t xml:space="preserve"> or acidosis</w:t>
                  </w:r>
                </w:p>
              </w:txbxContent>
            </v:textbox>
          </v:shape>
        </w:pict>
      </w:r>
    </w:p>
    <w:p w:rsidR="009C08D2" w:rsidRDefault="00462ECA" w:rsidP="009707EB">
      <w:pPr>
        <w:pStyle w:val="NoSpacing"/>
        <w:jc w:val="both"/>
      </w:pPr>
      <w:r w:rsidRPr="00462ECA">
        <w:rPr>
          <w:noProof/>
        </w:rPr>
        <w:pict>
          <v:shape id="_x0000_s1058" type="#_x0000_t13" style="position:absolute;left:0;text-align:left;margin-left:214.5pt;margin-top:12.1pt;width:56.25pt;height:10.95pt;z-index:251686912"/>
        </w:pict>
      </w:r>
      <w:r w:rsidRPr="00462ECA">
        <w:rPr>
          <w:noProof/>
        </w:rPr>
        <w:pict>
          <v:shape id="_x0000_s1037" type="#_x0000_t202" style="position:absolute;left:0;text-align:left;margin-left:15pt;margin-top:2.8pt;width:193.5pt;height:20.25pt;z-index:251667456">
            <v:textbox>
              <w:txbxContent>
                <w:p w:rsidR="009C08D2" w:rsidRDefault="009C08D2" w:rsidP="009C08D2">
                  <w:pPr>
                    <w:jc w:val="center"/>
                  </w:pPr>
                  <w:r>
                    <w:t>Arterial Blood gas analysis</w:t>
                  </w:r>
                </w:p>
              </w:txbxContent>
            </v:textbox>
          </v:shape>
        </w:pict>
      </w:r>
    </w:p>
    <w:p w:rsidR="009C08D2" w:rsidRDefault="00462ECA" w:rsidP="009707EB">
      <w:pPr>
        <w:pStyle w:val="NoSpacing"/>
        <w:jc w:val="both"/>
      </w:pPr>
      <w:r w:rsidRPr="00462ECA">
        <w:rPr>
          <w:noProof/>
        </w:rPr>
        <w:pict>
          <v:shape id="_x0000_s1050" type="#_x0000_t67" style="position:absolute;left:0;text-align:left;margin-left:98.25pt;margin-top:9.6pt;width:7.15pt;height:30.3pt;z-index:251678720">
            <v:textbox style="layout-flow:vertical-ideographic"/>
          </v:shape>
        </w:pict>
      </w:r>
    </w:p>
    <w:p w:rsidR="009C08D2" w:rsidRDefault="009C08D2" w:rsidP="009707EB">
      <w:pPr>
        <w:pStyle w:val="NoSpacing"/>
        <w:jc w:val="both"/>
      </w:pPr>
    </w:p>
    <w:p w:rsidR="009C08D2" w:rsidRDefault="009C08D2" w:rsidP="009707EB">
      <w:pPr>
        <w:pStyle w:val="NoSpacing"/>
        <w:jc w:val="both"/>
      </w:pPr>
    </w:p>
    <w:p w:rsidR="009C08D2" w:rsidRDefault="00462ECA" w:rsidP="009707EB">
      <w:pPr>
        <w:pStyle w:val="NoSpacing"/>
        <w:jc w:val="both"/>
      </w:pPr>
      <w:r w:rsidRPr="00462ECA">
        <w:rPr>
          <w:noProof/>
        </w:rPr>
        <w:pict>
          <v:shape id="_x0000_s1041" type="#_x0000_t202" style="position:absolute;left:0;text-align:left;margin-left:275.25pt;margin-top:4.15pt;width:162pt;height:49.5pt;z-index:251670528">
            <v:textbox>
              <w:txbxContent>
                <w:p w:rsidR="009C08D2" w:rsidRDefault="009C08D2" w:rsidP="009C08D2">
                  <w:pPr>
                    <w:pStyle w:val="NoSpacing"/>
                    <w:jc w:val="center"/>
                  </w:pPr>
                  <w:r w:rsidRPr="009C08D2">
                    <w:t>Consider</w:t>
                  </w:r>
                  <w:r>
                    <w:t xml:space="preserve"> further diagnosis tests;</w:t>
                  </w:r>
                </w:p>
                <w:p w:rsidR="009C08D2" w:rsidRDefault="009C08D2" w:rsidP="009C08D2">
                  <w:pPr>
                    <w:pStyle w:val="NoSpacing"/>
                    <w:jc w:val="center"/>
                  </w:pPr>
                  <w:r>
                    <w:t>CXR,</w:t>
                  </w:r>
                </w:p>
                <w:p w:rsidR="009C08D2" w:rsidRPr="009C08D2" w:rsidRDefault="009C08D2" w:rsidP="009C08D2">
                  <w:pPr>
                    <w:pStyle w:val="NoSpacing"/>
                    <w:jc w:val="center"/>
                  </w:pPr>
                  <w:r>
                    <w:t>CT head</w:t>
                  </w:r>
                </w:p>
              </w:txbxContent>
            </v:textbox>
          </v:shape>
        </w:pict>
      </w:r>
      <w:r w:rsidRPr="00462ECA">
        <w:rPr>
          <w:noProof/>
        </w:rPr>
        <w:pict>
          <v:shape id="_x0000_s1039" type="#_x0000_t202" style="position:absolute;left:0;text-align:left;margin-left:15pt;margin-top:-.35pt;width:193.5pt;height:63pt;z-index:251669504">
            <v:textbox>
              <w:txbxContent>
                <w:p w:rsidR="009C08D2" w:rsidRPr="009C08D2" w:rsidRDefault="009C08D2" w:rsidP="009C08D2">
                  <w:pPr>
                    <w:jc w:val="center"/>
                    <w:rPr>
                      <w:sz w:val="20"/>
                      <w:szCs w:val="20"/>
                    </w:rPr>
                  </w:pPr>
                  <w:r w:rsidRPr="009C08D2">
                    <w:rPr>
                      <w:sz w:val="20"/>
                      <w:szCs w:val="20"/>
                    </w:rPr>
                    <w:t xml:space="preserve">Full </w:t>
                  </w:r>
                  <w:r>
                    <w:rPr>
                      <w:sz w:val="20"/>
                      <w:szCs w:val="20"/>
                    </w:rPr>
                    <w:t>clinical examination, with particular attention to respiratory system and nervous system (including focal or lateralizing neurological signs)</w:t>
                  </w:r>
                </w:p>
              </w:txbxContent>
            </v:textbox>
          </v:shape>
        </w:pict>
      </w:r>
    </w:p>
    <w:p w:rsidR="009C08D2" w:rsidRDefault="009C08D2" w:rsidP="009707EB">
      <w:pPr>
        <w:pStyle w:val="NoSpacing"/>
        <w:jc w:val="both"/>
      </w:pPr>
    </w:p>
    <w:p w:rsidR="009C08D2" w:rsidRDefault="00462ECA" w:rsidP="009707EB">
      <w:pPr>
        <w:pStyle w:val="NoSpacing"/>
        <w:jc w:val="both"/>
      </w:pPr>
      <w:r w:rsidRPr="00462ECA">
        <w:rPr>
          <w:noProof/>
        </w:rPr>
        <w:pict>
          <v:shape id="_x0000_s1059" type="#_x0000_t13" style="position:absolute;left:0;text-align:left;margin-left:214.5pt;margin-top:2.75pt;width:56.25pt;height:10.5pt;z-index:251687936"/>
        </w:pict>
      </w:r>
    </w:p>
    <w:p w:rsidR="009C08D2" w:rsidRDefault="009C08D2" w:rsidP="009707EB">
      <w:pPr>
        <w:pStyle w:val="NoSpacing"/>
        <w:jc w:val="both"/>
      </w:pPr>
    </w:p>
    <w:p w:rsidR="009C08D2" w:rsidRDefault="00462ECA" w:rsidP="009707EB">
      <w:pPr>
        <w:pStyle w:val="NoSpacing"/>
        <w:jc w:val="both"/>
      </w:pPr>
      <w:r w:rsidRPr="00462ECA">
        <w:rPr>
          <w:noProof/>
        </w:rPr>
        <w:pict>
          <v:shape id="_x0000_s1051" type="#_x0000_t67" style="position:absolute;left:0;text-align:left;margin-left:98.25pt;margin-top:8.9pt;width:7.15pt;height:37.5pt;z-index:251679744">
            <v:textbox style="layout-flow:vertical-ideographic"/>
          </v:shape>
        </w:pict>
      </w:r>
    </w:p>
    <w:p w:rsidR="009C08D2" w:rsidRDefault="009C08D2" w:rsidP="009707EB">
      <w:pPr>
        <w:pStyle w:val="NoSpacing"/>
        <w:jc w:val="both"/>
      </w:pPr>
    </w:p>
    <w:p w:rsidR="009C08D2" w:rsidRDefault="009C08D2" w:rsidP="009707EB">
      <w:pPr>
        <w:pStyle w:val="NoSpacing"/>
        <w:jc w:val="both"/>
      </w:pPr>
    </w:p>
    <w:p w:rsidR="009C08D2" w:rsidRDefault="00462ECA" w:rsidP="009707EB">
      <w:pPr>
        <w:pStyle w:val="NoSpacing"/>
        <w:jc w:val="both"/>
      </w:pPr>
      <w:r w:rsidRPr="00462ECA">
        <w:rPr>
          <w:noProof/>
        </w:rPr>
        <w:pict>
          <v:shape id="_x0000_s1042" type="#_x0000_t202" style="position:absolute;left:0;text-align:left;margin-left:15pt;margin-top:6.15pt;width:193.5pt;height:36pt;z-index:251671552">
            <v:textbox>
              <w:txbxContent>
                <w:p w:rsidR="009C08D2" w:rsidRPr="009C08D2" w:rsidRDefault="009C08D2" w:rsidP="009C08D2">
                  <w:pPr>
                    <w:pStyle w:val="NoSpacing"/>
                    <w:jc w:val="center"/>
                    <w:rPr>
                      <w:sz w:val="20"/>
                      <w:szCs w:val="20"/>
                    </w:rPr>
                  </w:pPr>
                  <w:r w:rsidRPr="009C08D2">
                    <w:rPr>
                      <w:sz w:val="20"/>
                      <w:szCs w:val="20"/>
                    </w:rPr>
                    <w:t>Blood Tests</w:t>
                  </w:r>
                </w:p>
                <w:p w:rsidR="009C08D2" w:rsidRPr="009C08D2" w:rsidRDefault="009C08D2" w:rsidP="009C08D2">
                  <w:pPr>
                    <w:pStyle w:val="NoSpacing"/>
                    <w:jc w:val="center"/>
                    <w:rPr>
                      <w:sz w:val="20"/>
                      <w:szCs w:val="20"/>
                    </w:rPr>
                  </w:pPr>
                  <w:r w:rsidRPr="009C08D2">
                    <w:rPr>
                      <w:sz w:val="20"/>
                      <w:szCs w:val="20"/>
                    </w:rPr>
                    <w:t xml:space="preserve">U+E, FBC or </w:t>
                  </w:r>
                  <w:proofErr w:type="spellStart"/>
                  <w:r w:rsidRPr="009C08D2">
                    <w:rPr>
                      <w:sz w:val="20"/>
                      <w:szCs w:val="20"/>
                    </w:rPr>
                    <w:t>haemocue</w:t>
                  </w:r>
                  <w:proofErr w:type="spellEnd"/>
                  <w:r w:rsidRPr="009C08D2">
                    <w:rPr>
                      <w:sz w:val="20"/>
                      <w:szCs w:val="20"/>
                    </w:rPr>
                    <w:t>, glucose, TFT</w:t>
                  </w:r>
                </w:p>
              </w:txbxContent>
            </v:textbox>
          </v:shape>
        </w:pict>
      </w:r>
    </w:p>
    <w:p w:rsidR="009C08D2" w:rsidRDefault="009C08D2" w:rsidP="009707EB">
      <w:pPr>
        <w:pStyle w:val="NoSpacing"/>
        <w:jc w:val="both"/>
      </w:pPr>
    </w:p>
    <w:p w:rsidR="009C08D2" w:rsidRDefault="009C08D2" w:rsidP="009707EB">
      <w:pPr>
        <w:pStyle w:val="NoSpacing"/>
        <w:jc w:val="both"/>
      </w:pPr>
    </w:p>
    <w:p w:rsidR="009C08D2" w:rsidRDefault="00462ECA" w:rsidP="009707EB">
      <w:pPr>
        <w:pStyle w:val="NoSpacing"/>
        <w:jc w:val="both"/>
      </w:pPr>
      <w:r w:rsidRPr="00462ECA">
        <w:rPr>
          <w:noProof/>
        </w:rPr>
        <w:pict>
          <v:shape id="_x0000_s1052" type="#_x0000_t67" style="position:absolute;left:0;text-align:left;margin-left:98.25pt;margin-top:1.85pt;width:7.15pt;height:37.5pt;z-index:251680768">
            <v:textbox style="layout-flow:vertical-ideographic"/>
          </v:shape>
        </w:pict>
      </w:r>
    </w:p>
    <w:p w:rsidR="009C08D2" w:rsidRDefault="009C08D2" w:rsidP="009707EB">
      <w:pPr>
        <w:pStyle w:val="NoSpacing"/>
        <w:jc w:val="both"/>
      </w:pPr>
    </w:p>
    <w:p w:rsidR="009C08D2" w:rsidRDefault="00462ECA" w:rsidP="009707EB">
      <w:pPr>
        <w:pStyle w:val="NoSpacing"/>
        <w:jc w:val="both"/>
      </w:pPr>
      <w:r w:rsidRPr="00462ECA">
        <w:rPr>
          <w:noProof/>
        </w:rPr>
        <w:pict>
          <v:shape id="_x0000_s1043" type="#_x0000_t202" style="position:absolute;left:0;text-align:left;margin-left:15pt;margin-top:12.5pt;width:207.75pt;height:76.5pt;z-index:251672576">
            <v:textbox>
              <w:txbxContent>
                <w:p w:rsidR="009C08D2" w:rsidRDefault="009C08D2" w:rsidP="009C08D2">
                  <w:pPr>
                    <w:pStyle w:val="NoSpacing"/>
                  </w:pPr>
                  <w:r>
                    <w:t>If patient remains unconscious decide:</w:t>
                  </w:r>
                </w:p>
                <w:p w:rsidR="009C08D2" w:rsidRDefault="009C08D2" w:rsidP="009C08D2">
                  <w:pPr>
                    <w:pStyle w:val="NoSpacing"/>
                  </w:pPr>
                  <w:r>
                    <w:t>Where this patient should be managed?</w:t>
                  </w:r>
                </w:p>
                <w:p w:rsidR="009C08D2" w:rsidRDefault="00081FE8" w:rsidP="009C08D2">
                  <w:pPr>
                    <w:pStyle w:val="NoSpacing"/>
                  </w:pPr>
                  <w:proofErr w:type="gramStart"/>
                  <w:r>
                    <w:t>Further course o</w:t>
                  </w:r>
                  <w:r w:rsidR="009C08D2">
                    <w:t>f action?</w:t>
                  </w:r>
                  <w:proofErr w:type="gramEnd"/>
                </w:p>
                <w:p w:rsidR="009C08D2" w:rsidRPr="009C08D2" w:rsidRDefault="009C08D2" w:rsidP="009C08D2">
                  <w:pPr>
                    <w:pStyle w:val="NoSpacing"/>
                  </w:pPr>
                  <w:r>
                    <w:t>Consider a dissociative test where other diagnosis absent</w:t>
                  </w:r>
                </w:p>
              </w:txbxContent>
            </v:textbox>
          </v:shape>
        </w:pict>
      </w:r>
    </w:p>
    <w:p w:rsidR="009C08D2" w:rsidRDefault="009C08D2" w:rsidP="009707EB">
      <w:pPr>
        <w:pStyle w:val="NoSpacing"/>
        <w:jc w:val="both"/>
      </w:pPr>
    </w:p>
    <w:p w:rsidR="009C08D2" w:rsidRDefault="009C08D2" w:rsidP="009707EB">
      <w:pPr>
        <w:pStyle w:val="NoSpacing"/>
        <w:jc w:val="both"/>
      </w:pPr>
    </w:p>
    <w:p w:rsidR="009C08D2" w:rsidRDefault="009C08D2" w:rsidP="009707EB">
      <w:pPr>
        <w:pStyle w:val="NoSpacing"/>
        <w:jc w:val="both"/>
      </w:pPr>
    </w:p>
    <w:p w:rsidR="009C08D2" w:rsidRDefault="009C08D2" w:rsidP="009707EB">
      <w:pPr>
        <w:pStyle w:val="NoSpacing"/>
        <w:jc w:val="both"/>
      </w:pPr>
    </w:p>
    <w:p w:rsidR="009C08D2" w:rsidRDefault="009C08D2" w:rsidP="009707EB">
      <w:pPr>
        <w:pStyle w:val="NoSpacing"/>
        <w:jc w:val="both"/>
      </w:pPr>
    </w:p>
    <w:p w:rsidR="009C08D2" w:rsidRDefault="009C08D2" w:rsidP="009707EB">
      <w:pPr>
        <w:pStyle w:val="NoSpacing"/>
        <w:jc w:val="both"/>
      </w:pPr>
    </w:p>
    <w:p w:rsidR="005A2282" w:rsidRPr="005A2282" w:rsidRDefault="005A2282" w:rsidP="009707EB">
      <w:pPr>
        <w:pStyle w:val="NoSpacing"/>
        <w:jc w:val="both"/>
        <w:rPr>
          <w:b/>
        </w:rPr>
      </w:pPr>
      <w:r w:rsidRPr="005A2282">
        <w:rPr>
          <w:b/>
        </w:rPr>
        <w:t>Uncommon causes</w:t>
      </w:r>
    </w:p>
    <w:p w:rsidR="005A2282" w:rsidRPr="005A2282" w:rsidRDefault="005A2282" w:rsidP="009707EB">
      <w:pPr>
        <w:pStyle w:val="NoSpacing"/>
        <w:jc w:val="both"/>
        <w:rPr>
          <w:b/>
        </w:rPr>
      </w:pPr>
    </w:p>
    <w:p w:rsidR="005A2282" w:rsidRPr="005A2282" w:rsidRDefault="005A2282" w:rsidP="009707EB">
      <w:pPr>
        <w:pStyle w:val="NoSpacing"/>
        <w:jc w:val="both"/>
        <w:rPr>
          <w:b/>
        </w:rPr>
      </w:pPr>
      <w:r w:rsidRPr="005A2282">
        <w:rPr>
          <w:b/>
        </w:rPr>
        <w:t>Central anticholinergic syndrome</w:t>
      </w:r>
    </w:p>
    <w:p w:rsidR="00271A25" w:rsidRDefault="005A2282" w:rsidP="009707EB">
      <w:pPr>
        <w:pStyle w:val="NoSpacing"/>
        <w:jc w:val="both"/>
      </w:pPr>
      <w:r>
        <w:t>Historically, anticholinergic syndrome was a  commonly encountered sequel to anaesthesia.  Nowadays, less anticholinergic medications are used.  Symptoms range from cerebral irritation w</w:t>
      </w:r>
      <w:r w:rsidR="00223A76">
        <w:t>ith delirium and agitation to CN</w:t>
      </w:r>
      <w:r>
        <w:t xml:space="preserve">S depression with stupor and coma.  These accompany peripheral anticholinergic effects that is tachycardia, blurred vision, dry mouth reversed </w:t>
      </w:r>
      <w:r w:rsidR="00271A25">
        <w:t>by physostigmine (an acetylcholinesterase inhibitor), but may recur when its effect terminates.  Anti-Parkinsonian, antidepressant and anti-histamine drugs can cause central anticholinergic syndrome.</w:t>
      </w:r>
      <w:r w:rsidR="00386540">
        <w:rPr>
          <w:vertAlign w:val="superscript"/>
        </w:rPr>
        <w:t>7</w:t>
      </w:r>
    </w:p>
    <w:p w:rsidR="00271A25" w:rsidRDefault="00271A25" w:rsidP="009707EB">
      <w:pPr>
        <w:pStyle w:val="NoSpacing"/>
        <w:jc w:val="both"/>
      </w:pPr>
    </w:p>
    <w:p w:rsidR="00DD6D1B" w:rsidRPr="00271A25" w:rsidRDefault="005A2282" w:rsidP="009707EB">
      <w:pPr>
        <w:pStyle w:val="NoSpacing"/>
        <w:jc w:val="both"/>
        <w:rPr>
          <w:b/>
        </w:rPr>
      </w:pPr>
      <w:r w:rsidRPr="00271A25">
        <w:rPr>
          <w:b/>
        </w:rPr>
        <w:t xml:space="preserve"> </w:t>
      </w:r>
      <w:r w:rsidR="00271A25" w:rsidRPr="00271A25">
        <w:rPr>
          <w:b/>
        </w:rPr>
        <w:t>Disassocative coma</w:t>
      </w:r>
    </w:p>
    <w:p w:rsidR="00271A25" w:rsidRDefault="00271A25" w:rsidP="009707EB">
      <w:pPr>
        <w:pStyle w:val="NoSpacing"/>
        <w:jc w:val="both"/>
      </w:pPr>
    </w:p>
    <w:p w:rsidR="00DD6D1B" w:rsidRPr="00271A25" w:rsidRDefault="00271A25" w:rsidP="009707EB">
      <w:pPr>
        <w:pStyle w:val="NoSpacing"/>
        <w:jc w:val="both"/>
        <w:rPr>
          <w:vertAlign w:val="superscript"/>
        </w:rPr>
      </w:pPr>
      <w:r>
        <w:t>A number of authors report causes and hypothesize that, after exclusion of organs and pharmacological causes, coma may be attributed to a disassociative stupor.  Reported delays in return to consciousness span time periods from 2 to 30 h, and longer periods of amnesia thereafter.  There are four reports in the literature; each excluded other pathology with extensive examination, laboratory tests and radiological imaging.  One individual experienced this phenomenton on three separate occasions after tracheal stenosis repairs.</w:t>
      </w:r>
      <w:r w:rsidR="00386540" w:rsidRPr="00386540">
        <w:rPr>
          <w:vertAlign w:val="superscript"/>
        </w:rPr>
        <w:t>8</w:t>
      </w:r>
      <w:r w:rsidRPr="00271A25">
        <w:rPr>
          <w:vertAlign w:val="superscript"/>
        </w:rPr>
        <w:t>-</w:t>
      </w:r>
      <w:r w:rsidR="00386540">
        <w:rPr>
          <w:vertAlign w:val="superscript"/>
        </w:rPr>
        <w:t>10</w:t>
      </w:r>
    </w:p>
    <w:p w:rsidR="00271A25" w:rsidRDefault="00271A25" w:rsidP="009707EB">
      <w:pPr>
        <w:pStyle w:val="NoSpacing"/>
        <w:jc w:val="both"/>
      </w:pPr>
      <w:r>
        <w:tab/>
        <w:t>R</w:t>
      </w:r>
      <w:r w:rsidR="00AB3D62">
        <w:t>a</w:t>
      </w:r>
      <w:r>
        <w:t>g</w:t>
      </w:r>
      <w:r w:rsidR="00AB3D62">
        <w:t>al</w:t>
      </w:r>
      <w:r>
        <w:t>l</w:t>
      </w:r>
      <w:r w:rsidR="00AB3D62">
        <w:t>e</w:t>
      </w:r>
      <w:r>
        <w:t>r and collagues</w:t>
      </w:r>
      <w:r w:rsidR="00D81434">
        <w:rPr>
          <w:vertAlign w:val="superscript"/>
        </w:rPr>
        <w:t>1</w:t>
      </w:r>
      <w:r w:rsidR="00386540">
        <w:rPr>
          <w:vertAlign w:val="superscript"/>
        </w:rPr>
        <w:t>1</w:t>
      </w:r>
      <w:r>
        <w:t xml:space="preserve"> describe a case of myxoedema coma presenting 24 h after </w:t>
      </w:r>
      <w:r w:rsidR="00223A76">
        <w:t>o</w:t>
      </w:r>
      <w:r>
        <w:t>peration with cardiac arrest and prolonged coma.  This was successfully treated with thyroxine replacement.  Thyroid failure should be considered as a possible cause of unconsciousness in the immediate postoperative period.  Others have described the prolonged</w:t>
      </w:r>
      <w:r w:rsidR="00223A76">
        <w:t xml:space="preserve"> </w:t>
      </w:r>
      <w:r>
        <w:t>unconsciousness of an 86-yr old who received a postoperative lidocaine infusion for arrhythmias. The patient achieved t</w:t>
      </w:r>
      <w:r w:rsidR="00223A76">
        <w:t>hree times the recommended blood</w:t>
      </w:r>
      <w:r>
        <w:t xml:space="preserve"> concentration required for arrhythamia management as the result of a prescribing error.</w:t>
      </w:r>
      <w:r w:rsidR="008F11B3">
        <w:t xml:space="preserve">  Valproate toxicity has been reported in eight postoperative neurosurgical patients who experienced prolonged unconsciousness, stupor or coma</w:t>
      </w:r>
      <w:r w:rsidR="00386540" w:rsidRPr="00386540">
        <w:rPr>
          <w:vertAlign w:val="superscript"/>
        </w:rPr>
        <w:t>12</w:t>
      </w:r>
      <w:r w:rsidR="008F11B3" w:rsidRPr="00386540">
        <w:rPr>
          <w:vertAlign w:val="superscript"/>
        </w:rPr>
        <w:t>.</w:t>
      </w:r>
      <w:r w:rsidR="008F11B3">
        <w:t xml:space="preserve">  They demonstrated abnormal EEG patterns which returned to normal, as did the patients’ level of consciousness, after discontinuation of valproate.  The  mechanism was postulated to be attributable to the destruction of the blood-brain barier in the pathological state.</w:t>
      </w:r>
      <w:r w:rsidR="008F11B3" w:rsidRPr="008F11B3">
        <w:rPr>
          <w:vertAlign w:val="superscript"/>
        </w:rPr>
        <w:t>1</w:t>
      </w:r>
      <w:r w:rsidR="00386540">
        <w:rPr>
          <w:vertAlign w:val="superscript"/>
        </w:rPr>
        <w:t>3</w:t>
      </w:r>
    </w:p>
    <w:p w:rsidR="009C08D2" w:rsidRDefault="009C08D2" w:rsidP="009707EB">
      <w:pPr>
        <w:pStyle w:val="NoSpacing"/>
        <w:jc w:val="both"/>
      </w:pPr>
    </w:p>
    <w:p w:rsidR="009C08D2" w:rsidRDefault="009C08D2" w:rsidP="009707EB">
      <w:pPr>
        <w:pStyle w:val="NoSpacing"/>
        <w:jc w:val="both"/>
      </w:pPr>
    </w:p>
    <w:p w:rsidR="009C08D2" w:rsidRPr="0031672B" w:rsidRDefault="0031672B" w:rsidP="009707EB">
      <w:pPr>
        <w:pStyle w:val="NoSpacing"/>
        <w:jc w:val="both"/>
        <w:rPr>
          <w:b/>
        </w:rPr>
      </w:pPr>
      <w:r w:rsidRPr="0031672B">
        <w:rPr>
          <w:b/>
        </w:rPr>
        <w:t>References</w:t>
      </w:r>
    </w:p>
    <w:p w:rsidR="0031672B" w:rsidRDefault="0031672B" w:rsidP="009707EB">
      <w:pPr>
        <w:pStyle w:val="NoSpacing"/>
        <w:jc w:val="both"/>
      </w:pPr>
    </w:p>
    <w:p w:rsidR="009C08D2" w:rsidRDefault="0031672B" w:rsidP="00905029">
      <w:pPr>
        <w:pStyle w:val="NoSpacing"/>
        <w:ind w:left="720" w:hanging="720"/>
        <w:jc w:val="both"/>
      </w:pPr>
      <w:r>
        <w:t>1.</w:t>
      </w:r>
      <w:r>
        <w:tab/>
        <w:t>Fischer J. MATHESON C: The history of the Glasgow Coma scale; Implications for practice Crit Care Nurs Q, 2001, 23(4):52-8</w:t>
      </w:r>
      <w:r w:rsidR="00EC5705">
        <w:t>.</w:t>
      </w:r>
    </w:p>
    <w:p w:rsidR="00EC5705" w:rsidRDefault="00EC5705" w:rsidP="00905029">
      <w:pPr>
        <w:pStyle w:val="NoSpacing"/>
        <w:ind w:left="720" w:hanging="720"/>
        <w:jc w:val="both"/>
      </w:pPr>
      <w:r>
        <w:t>2.</w:t>
      </w:r>
      <w:r>
        <w:tab/>
        <w:t>ALDRETE JA, KROULIK D: A postanaesthetic recovery score</w:t>
      </w:r>
      <w:r w:rsidRPr="00EC5705">
        <w:rPr>
          <w:i/>
        </w:rPr>
        <w:t>.  A</w:t>
      </w:r>
      <w:r>
        <w:rPr>
          <w:i/>
        </w:rPr>
        <w:t>n</w:t>
      </w:r>
      <w:r w:rsidRPr="00EC5705">
        <w:rPr>
          <w:i/>
        </w:rPr>
        <w:t>esth Analg</w:t>
      </w:r>
      <w:r>
        <w:t>; 1970, 49:924-34.</w:t>
      </w:r>
    </w:p>
    <w:p w:rsidR="005A3A98" w:rsidRDefault="00DC21EB" w:rsidP="00905029">
      <w:pPr>
        <w:pStyle w:val="NoSpacing"/>
        <w:ind w:left="720" w:hanging="720"/>
        <w:jc w:val="both"/>
      </w:pPr>
      <w:r>
        <w:t>3</w:t>
      </w:r>
      <w:r w:rsidR="005A3A98">
        <w:t>.</w:t>
      </w:r>
      <w:r w:rsidR="005A3A98">
        <w:tab/>
      </w:r>
      <w:r w:rsidR="00404CE5">
        <w:t>Context Sensitive Elimination Times.  Chris Thompson.  Royal Prince Alfred Hospital, Sydney Australia 2000.</w:t>
      </w:r>
    </w:p>
    <w:p w:rsidR="007B2B4B" w:rsidRPr="007B2B4B" w:rsidRDefault="007B2B4B" w:rsidP="007B2B4B">
      <w:pPr>
        <w:pStyle w:val="NoSpacing"/>
        <w:ind w:left="720" w:hanging="720"/>
        <w:jc w:val="both"/>
        <w:rPr>
          <w:rStyle w:val="HTMLCite"/>
          <w:i w:val="0"/>
          <w:iCs w:val="0"/>
        </w:rPr>
      </w:pPr>
      <w:r w:rsidRPr="007B2B4B">
        <w:t>4.</w:t>
      </w:r>
      <w:r w:rsidRPr="007B2B4B">
        <w:tab/>
      </w:r>
      <w:hyperlink r:id="rId6" w:history="1">
        <w:r w:rsidRPr="007B2B4B">
          <w:rPr>
            <w:rStyle w:val="Hyperlink"/>
            <w:rFonts w:cs="Arial"/>
            <w:i/>
            <w:iCs/>
            <w:color w:val="663366"/>
            <w:u w:val="none"/>
            <w:shd w:val="clear" w:color="auto" w:fill="FFFFFF"/>
          </w:rPr>
          <w:t>"Hypoglycemia"</w:t>
        </w:r>
      </w:hyperlink>
      <w:r w:rsidRPr="007B2B4B">
        <w:rPr>
          <w:rStyle w:val="HTMLCite"/>
          <w:rFonts w:cs="Arial"/>
          <w:color w:val="252525"/>
          <w:shd w:val="clear" w:color="auto" w:fill="FFFFFF"/>
        </w:rPr>
        <w:t>.</w:t>
      </w:r>
      <w:r w:rsidRPr="007B2B4B">
        <w:rPr>
          <w:rStyle w:val="apple-converted-space"/>
          <w:rFonts w:cs="Arial"/>
          <w:i/>
          <w:iCs/>
          <w:color w:val="252525"/>
          <w:shd w:val="clear" w:color="auto" w:fill="FFFFFF"/>
        </w:rPr>
        <w:t> </w:t>
      </w:r>
      <w:r w:rsidRPr="007B2B4B">
        <w:rPr>
          <w:rStyle w:val="HTMLCite"/>
          <w:rFonts w:cs="Arial"/>
          <w:color w:val="252525"/>
          <w:shd w:val="clear" w:color="auto" w:fill="FFFFFF"/>
        </w:rPr>
        <w:t>National Institute of Diabetes and Digestive and Kidney Diseases. October 2008</w:t>
      </w:r>
      <w:r w:rsidRPr="007B2B4B">
        <w:rPr>
          <w:rStyle w:val="reference-accessdate"/>
          <w:rFonts w:cs="Arial"/>
          <w:i/>
          <w:iCs/>
          <w:color w:val="252525"/>
          <w:shd w:val="clear" w:color="auto" w:fill="FFFFFF"/>
        </w:rPr>
        <w:t>. Retrieved</w:t>
      </w:r>
      <w:r w:rsidRPr="007B2B4B">
        <w:rPr>
          <w:rStyle w:val="apple-converted-space"/>
          <w:rFonts w:cs="Arial"/>
          <w:i/>
          <w:iCs/>
          <w:color w:val="252525"/>
          <w:shd w:val="clear" w:color="auto" w:fill="FFFFFF"/>
        </w:rPr>
        <w:t> </w:t>
      </w:r>
      <w:r w:rsidRPr="007B2B4B">
        <w:rPr>
          <w:rStyle w:val="nowrap"/>
          <w:rFonts w:cs="Arial"/>
          <w:i/>
          <w:iCs/>
          <w:color w:val="252525"/>
          <w:shd w:val="clear" w:color="auto" w:fill="FFFFFF"/>
        </w:rPr>
        <w:t>28 June</w:t>
      </w:r>
      <w:r w:rsidRPr="007B2B4B">
        <w:rPr>
          <w:rStyle w:val="apple-converted-space"/>
          <w:rFonts w:cs="Arial"/>
          <w:i/>
          <w:iCs/>
          <w:color w:val="252525"/>
          <w:shd w:val="clear" w:color="auto" w:fill="FFFFFF"/>
        </w:rPr>
        <w:t> </w:t>
      </w:r>
      <w:r w:rsidRPr="007B2B4B">
        <w:rPr>
          <w:rStyle w:val="reference-accessdate"/>
          <w:rFonts w:cs="Arial"/>
          <w:i/>
          <w:iCs/>
          <w:color w:val="252525"/>
          <w:shd w:val="clear" w:color="auto" w:fill="FFFFFF"/>
        </w:rPr>
        <w:t>2015</w:t>
      </w:r>
      <w:r w:rsidRPr="007B2B4B">
        <w:rPr>
          <w:rStyle w:val="HTMLCite"/>
          <w:rFonts w:cs="Arial"/>
          <w:color w:val="252525"/>
          <w:shd w:val="clear" w:color="auto" w:fill="FFFFFF"/>
        </w:rPr>
        <w:t>.</w:t>
      </w:r>
    </w:p>
    <w:p w:rsidR="007B2B4B" w:rsidRPr="007B2B4B" w:rsidRDefault="007B2B4B" w:rsidP="007B2B4B">
      <w:pPr>
        <w:pStyle w:val="NoSpacing"/>
        <w:ind w:left="720" w:hanging="720"/>
        <w:jc w:val="both"/>
        <w:rPr>
          <w:rStyle w:val="HTMLCite"/>
          <w:rFonts w:cs="Arial"/>
          <w:color w:val="252525"/>
          <w:shd w:val="clear" w:color="auto" w:fill="FFFFFF"/>
        </w:rPr>
      </w:pPr>
      <w:r w:rsidRPr="007B2B4B">
        <w:t>5.</w:t>
      </w:r>
      <w:r w:rsidRPr="007B2B4B">
        <w:tab/>
      </w:r>
      <w:r w:rsidRPr="007B2B4B">
        <w:rPr>
          <w:rStyle w:val="HTMLCite"/>
          <w:rFonts w:cs="Arial"/>
          <w:color w:val="252525"/>
          <w:shd w:val="clear" w:color="auto" w:fill="FFFFFF"/>
        </w:rPr>
        <w:t>Perkin, Ronald M. (2008).</w:t>
      </w:r>
      <w:r w:rsidRPr="007B2B4B">
        <w:rPr>
          <w:rStyle w:val="apple-converted-space"/>
          <w:rFonts w:cs="Arial"/>
          <w:i/>
          <w:iCs/>
          <w:color w:val="252525"/>
          <w:shd w:val="clear" w:color="auto" w:fill="FFFFFF"/>
        </w:rPr>
        <w:t> </w:t>
      </w:r>
      <w:hyperlink r:id="rId7" w:history="1">
        <w:r w:rsidRPr="007B2B4B">
          <w:rPr>
            <w:rStyle w:val="Hyperlink"/>
            <w:rFonts w:cs="Arial"/>
            <w:i/>
            <w:iCs/>
            <w:color w:val="663366"/>
            <w:u w:val="none"/>
            <w:shd w:val="clear" w:color="auto" w:fill="FFFFFF"/>
          </w:rPr>
          <w:t>Pediatric hospital medicine : textbook of inpatient management</w:t>
        </w:r>
      </w:hyperlink>
      <w:r w:rsidRPr="007B2B4B">
        <w:rPr>
          <w:rStyle w:val="apple-converted-space"/>
          <w:rFonts w:cs="Arial"/>
          <w:i/>
          <w:iCs/>
          <w:color w:val="252525"/>
          <w:shd w:val="clear" w:color="auto" w:fill="FFFFFF"/>
        </w:rPr>
        <w:t> </w:t>
      </w:r>
      <w:r w:rsidRPr="007B2B4B">
        <w:rPr>
          <w:rStyle w:val="HTMLCite"/>
          <w:rFonts w:cs="Arial"/>
          <w:color w:val="252525"/>
          <w:shd w:val="clear" w:color="auto" w:fill="FFFFFF"/>
        </w:rPr>
        <w:t>(2nd ed.). Philadelphia: Wolters Kluwer Health/Lippincott Williams &amp; Wilkins. p. 105.</w:t>
      </w:r>
      <w:r w:rsidRPr="007B2B4B">
        <w:rPr>
          <w:rStyle w:val="apple-converted-space"/>
          <w:rFonts w:cs="Arial"/>
          <w:i/>
          <w:iCs/>
          <w:color w:val="252525"/>
          <w:shd w:val="clear" w:color="auto" w:fill="FFFFFF"/>
        </w:rPr>
        <w:t> </w:t>
      </w:r>
    </w:p>
    <w:p w:rsidR="007B2B4B" w:rsidRPr="007B2B4B" w:rsidRDefault="007B2B4B" w:rsidP="007B2B4B">
      <w:pPr>
        <w:pStyle w:val="NoSpacing"/>
        <w:ind w:left="720" w:hanging="720"/>
        <w:jc w:val="both"/>
      </w:pPr>
      <w:r w:rsidRPr="007B2B4B">
        <w:rPr>
          <w:rStyle w:val="HTMLCite"/>
          <w:rFonts w:cs="Arial"/>
          <w:color w:val="252525"/>
          <w:shd w:val="clear" w:color="auto" w:fill="FFFFFF"/>
        </w:rPr>
        <w:t>6.</w:t>
      </w:r>
      <w:r w:rsidRPr="007B2B4B">
        <w:rPr>
          <w:rStyle w:val="HTMLCite"/>
          <w:rFonts w:cs="Arial"/>
          <w:color w:val="252525"/>
          <w:shd w:val="clear" w:color="auto" w:fill="FFFFFF"/>
        </w:rPr>
        <w:tab/>
      </w:r>
      <w:r w:rsidRPr="007B2B4B">
        <w:rPr>
          <w:rStyle w:val="HTMLCite"/>
          <w:rFonts w:cs="Arial"/>
          <w:i w:val="0"/>
          <w:color w:val="252525"/>
          <w:shd w:val="clear" w:color="auto" w:fill="FFFFFF"/>
        </w:rPr>
        <w:t>Cryer PE, Axelrod L, Grossman AB, Heller SR, Montori VM, Seaquist ER, Service FJ (March 2009)</w:t>
      </w:r>
      <w:r w:rsidRPr="007B2B4B">
        <w:rPr>
          <w:rStyle w:val="HTMLCite"/>
          <w:rFonts w:cs="Arial"/>
          <w:color w:val="252525"/>
          <w:shd w:val="clear" w:color="auto" w:fill="FFFFFF"/>
        </w:rPr>
        <w:t>. "Evaluation and management of adult hypoglycemic disorders: an Endocrine Society Clinical Practice Guideline".</w:t>
      </w:r>
      <w:r w:rsidRPr="007B2B4B">
        <w:rPr>
          <w:rStyle w:val="apple-converted-space"/>
          <w:rFonts w:cs="Arial"/>
          <w:i/>
          <w:iCs/>
          <w:color w:val="252525"/>
          <w:shd w:val="clear" w:color="auto" w:fill="FFFFFF"/>
        </w:rPr>
        <w:t> </w:t>
      </w:r>
      <w:r w:rsidRPr="007B2B4B">
        <w:rPr>
          <w:rStyle w:val="HTMLCite"/>
          <w:rFonts w:cs="Arial"/>
          <w:color w:val="252525"/>
          <w:shd w:val="clear" w:color="auto" w:fill="FFFFFF"/>
        </w:rPr>
        <w:t>J. Clin.</w:t>
      </w:r>
      <w:r w:rsidRPr="007B2B4B">
        <w:rPr>
          <w:rStyle w:val="apple-converted-space"/>
          <w:rFonts w:cs="Arial"/>
          <w:i/>
          <w:iCs/>
          <w:color w:val="252525"/>
          <w:shd w:val="clear" w:color="auto" w:fill="FFFFFF"/>
        </w:rPr>
        <w:t> </w:t>
      </w:r>
      <w:r>
        <w:rPr>
          <w:rFonts w:ascii="Arial" w:hAnsi="Arial" w:cs="Arial"/>
          <w:i/>
          <w:iCs/>
          <w:color w:val="252525"/>
          <w:sz w:val="19"/>
          <w:szCs w:val="19"/>
          <w:shd w:val="clear" w:color="auto" w:fill="FFFFFF"/>
        </w:rPr>
        <w:t>Endocrinol. Metab.</w:t>
      </w:r>
      <w:r>
        <w:rPr>
          <w:rStyle w:val="apple-converted-space"/>
          <w:rFonts w:ascii="Arial" w:hAnsi="Arial" w:cs="Arial"/>
          <w:color w:val="252525"/>
          <w:sz w:val="19"/>
          <w:szCs w:val="19"/>
          <w:shd w:val="clear" w:color="auto" w:fill="FFFFFF"/>
        </w:rPr>
        <w:t> </w:t>
      </w:r>
      <w:r>
        <w:rPr>
          <w:rFonts w:ascii="Arial" w:hAnsi="Arial" w:cs="Arial"/>
          <w:b/>
          <w:bCs/>
          <w:color w:val="252525"/>
          <w:sz w:val="19"/>
          <w:szCs w:val="19"/>
          <w:shd w:val="clear" w:color="auto" w:fill="FFFFFF"/>
        </w:rPr>
        <w:t>94</w:t>
      </w:r>
      <w:r>
        <w:rPr>
          <w:rStyle w:val="apple-converted-space"/>
          <w:rFonts w:ascii="Arial" w:hAnsi="Arial" w:cs="Arial"/>
          <w:color w:val="252525"/>
          <w:sz w:val="19"/>
          <w:szCs w:val="19"/>
          <w:shd w:val="clear" w:color="auto" w:fill="FFFFFF"/>
        </w:rPr>
        <w:t> </w:t>
      </w:r>
      <w:r>
        <w:rPr>
          <w:rFonts w:ascii="Arial" w:hAnsi="Arial" w:cs="Arial"/>
          <w:color w:val="252525"/>
          <w:sz w:val="19"/>
          <w:szCs w:val="19"/>
          <w:shd w:val="clear" w:color="auto" w:fill="FFFFFF"/>
        </w:rPr>
        <w:t>(3): 709–28</w:t>
      </w:r>
      <w:r w:rsidR="00EB5310">
        <w:rPr>
          <w:rFonts w:ascii="Arial" w:hAnsi="Arial" w:cs="Arial"/>
          <w:color w:val="252525"/>
          <w:sz w:val="19"/>
          <w:szCs w:val="19"/>
          <w:shd w:val="clear" w:color="auto" w:fill="FFFFFF"/>
        </w:rPr>
        <w:t>.</w:t>
      </w:r>
    </w:p>
    <w:p w:rsidR="00627D2A" w:rsidRDefault="00627D2A" w:rsidP="00627D2A">
      <w:pPr>
        <w:pStyle w:val="NoSpacing"/>
        <w:ind w:left="720" w:hanging="720"/>
        <w:jc w:val="both"/>
      </w:pPr>
      <w:r>
        <w:lastRenderedPageBreak/>
        <w:t>7.</w:t>
      </w:r>
      <w:r>
        <w:tab/>
        <w:t xml:space="preserve">Brown DV, Heller F, Barkin R. Anticholinergic syndrome after anesthesia; a case report and review. </w:t>
      </w:r>
      <w:r w:rsidRPr="00404CE5">
        <w:rPr>
          <w:i/>
        </w:rPr>
        <w:t>Am J</w:t>
      </w:r>
      <w:r>
        <w:rPr>
          <w:i/>
        </w:rPr>
        <w:t xml:space="preserve"> T</w:t>
      </w:r>
      <w:r w:rsidRPr="00404CE5">
        <w:rPr>
          <w:i/>
        </w:rPr>
        <w:t>her</w:t>
      </w:r>
      <w:r>
        <w:t xml:space="preserve"> 2004; 52: 1031-4.</w:t>
      </w:r>
    </w:p>
    <w:p w:rsidR="007B2B4B" w:rsidRDefault="007B2B4B" w:rsidP="007B2B4B">
      <w:pPr>
        <w:pStyle w:val="NoSpacing"/>
        <w:ind w:left="60"/>
        <w:jc w:val="both"/>
        <w:rPr>
          <w:rStyle w:val="HTMLCite"/>
          <w:rFonts w:ascii="Arial" w:hAnsi="Arial" w:cs="Arial"/>
          <w:color w:val="252525"/>
          <w:sz w:val="19"/>
          <w:szCs w:val="19"/>
          <w:shd w:val="clear" w:color="auto" w:fill="FFFFFF"/>
        </w:rPr>
      </w:pPr>
    </w:p>
    <w:p w:rsidR="007B2B4B" w:rsidRDefault="007B2B4B" w:rsidP="00905029">
      <w:pPr>
        <w:pStyle w:val="NoSpacing"/>
        <w:ind w:left="720" w:hanging="720"/>
        <w:jc w:val="both"/>
      </w:pPr>
    </w:p>
    <w:p w:rsidR="007B2B4B" w:rsidRDefault="007B2B4B" w:rsidP="00905029">
      <w:pPr>
        <w:pStyle w:val="NoSpacing"/>
        <w:ind w:left="720" w:hanging="720"/>
        <w:jc w:val="both"/>
      </w:pPr>
    </w:p>
    <w:p w:rsidR="00404CE5" w:rsidRDefault="00386540" w:rsidP="00905029">
      <w:pPr>
        <w:pStyle w:val="NoSpacing"/>
        <w:ind w:left="720" w:hanging="720"/>
        <w:jc w:val="both"/>
      </w:pPr>
      <w:r>
        <w:t>8</w:t>
      </w:r>
      <w:r w:rsidR="00404CE5">
        <w:t>.</w:t>
      </w:r>
      <w:r w:rsidR="00404CE5">
        <w:tab/>
        <w:t xml:space="preserve">Chang Y, Huang CH, Wen YR, Chen Jy, Wu Gj.  Dissociative amnesia after general anaesthesia – a case report/ </w:t>
      </w:r>
      <w:r w:rsidR="00404CE5" w:rsidRPr="00404CE5">
        <w:rPr>
          <w:i/>
        </w:rPr>
        <w:t>Acta Anaesthesial Sin</w:t>
      </w:r>
      <w:r w:rsidR="00404CE5">
        <w:t xml:space="preserve"> 2002; 40: 101-4.</w:t>
      </w:r>
    </w:p>
    <w:p w:rsidR="00404CE5" w:rsidRDefault="00386540" w:rsidP="00905029">
      <w:pPr>
        <w:pStyle w:val="NoSpacing"/>
        <w:ind w:left="720" w:hanging="720"/>
        <w:jc w:val="both"/>
      </w:pPr>
      <w:r>
        <w:t>9</w:t>
      </w:r>
      <w:r w:rsidR="00404CE5">
        <w:t>.</w:t>
      </w:r>
      <w:r w:rsidR="00404CE5">
        <w:tab/>
        <w:t xml:space="preserve">Meyers Tj, Jafek BW, Meyers AD. Recurrent psychogenic coma following tracheal stenosis repair. </w:t>
      </w:r>
      <w:r w:rsidR="00404CE5" w:rsidRPr="00404CE5">
        <w:rPr>
          <w:i/>
        </w:rPr>
        <w:t xml:space="preserve">Arch Otolaryngol Head Neck Surg </w:t>
      </w:r>
      <w:r w:rsidR="00404CE5">
        <w:t>1999; 125:1267-9.</w:t>
      </w:r>
    </w:p>
    <w:p w:rsidR="00404CE5" w:rsidRDefault="00386540" w:rsidP="00905029">
      <w:pPr>
        <w:pStyle w:val="NoSpacing"/>
        <w:ind w:left="720" w:hanging="720"/>
        <w:jc w:val="both"/>
      </w:pPr>
      <w:r>
        <w:t>10</w:t>
      </w:r>
      <w:r w:rsidR="00404CE5">
        <w:t>.</w:t>
      </w:r>
      <w:r w:rsidR="00404CE5">
        <w:tab/>
        <w:t xml:space="preserve">Weber JG, Cunnien Aj, Hinni ML, Caviness JN. Psychogenic coma after use of general anaesthesia for ethmoidectomy.  </w:t>
      </w:r>
      <w:r w:rsidR="00404CE5" w:rsidRPr="00404CE5">
        <w:rPr>
          <w:i/>
        </w:rPr>
        <w:t xml:space="preserve">Mayo Clin Proc </w:t>
      </w:r>
      <w:r w:rsidR="00404CE5">
        <w:t>1996; 71: 797-800</w:t>
      </w:r>
    </w:p>
    <w:p w:rsidR="00386540" w:rsidRDefault="00386540" w:rsidP="00386540">
      <w:pPr>
        <w:pStyle w:val="NoSpacing"/>
        <w:ind w:left="720" w:hanging="720"/>
        <w:jc w:val="both"/>
      </w:pPr>
      <w:r>
        <w:t>11.</w:t>
      </w:r>
      <w:r>
        <w:tab/>
        <w:t xml:space="preserve">Regaller M. Quintel M, Bender Hj, Albrecht DM, Myxoedema coma as a rare postoperative complication. </w:t>
      </w:r>
      <w:r w:rsidRPr="00404CE5">
        <w:rPr>
          <w:i/>
        </w:rPr>
        <w:t xml:space="preserve">Anaesthetist </w:t>
      </w:r>
      <w:r>
        <w:t>1993; 42: 179-83.</w:t>
      </w:r>
    </w:p>
    <w:p w:rsidR="00386540" w:rsidRDefault="00386540" w:rsidP="00386540">
      <w:pPr>
        <w:pStyle w:val="NoSpacing"/>
        <w:ind w:left="720" w:hanging="720"/>
        <w:jc w:val="both"/>
      </w:pPr>
      <w:r>
        <w:t>12.</w:t>
      </w:r>
      <w:r>
        <w:tab/>
        <w:t xml:space="preserve">Landau J, Baulac M, Durand G, de Billy A, Phillippon J. Impairment of consciousness induced by valporate treatment following neurosurgical operation. </w:t>
      </w:r>
      <w:r w:rsidRPr="00905029">
        <w:rPr>
          <w:i/>
        </w:rPr>
        <w:t>Acta Neurochir (Wien)</w:t>
      </w:r>
      <w:r>
        <w:t xml:space="preserve"> 1994; 127; 240.</w:t>
      </w:r>
    </w:p>
    <w:p w:rsidR="00404CE5" w:rsidRDefault="00386540" w:rsidP="00386540">
      <w:pPr>
        <w:pStyle w:val="NoSpacing"/>
        <w:ind w:left="630" w:hanging="630"/>
        <w:jc w:val="both"/>
      </w:pPr>
      <w:r>
        <w:t>13.</w:t>
      </w:r>
      <w:r>
        <w:tab/>
      </w:r>
      <w:r w:rsidR="00404CE5">
        <w:t>Douglas JH III, Ross JD, Bruce DL Delayed awakening due to lidocaine overdose. J Clin Anesth 1990; 2: 126-8.</w:t>
      </w:r>
    </w:p>
    <w:p w:rsidR="00404CE5" w:rsidRDefault="00404CE5" w:rsidP="009707EB">
      <w:pPr>
        <w:pStyle w:val="NoSpacing"/>
        <w:jc w:val="both"/>
      </w:pPr>
    </w:p>
    <w:p w:rsidR="009C08D2" w:rsidRDefault="009C08D2" w:rsidP="009707EB">
      <w:pPr>
        <w:pStyle w:val="NoSpacing"/>
        <w:jc w:val="both"/>
      </w:pPr>
    </w:p>
    <w:sectPr w:rsidR="009C08D2" w:rsidSect="009C08D2">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F6AA4"/>
    <w:multiLevelType w:val="hybridMultilevel"/>
    <w:tmpl w:val="7374A648"/>
    <w:lvl w:ilvl="0" w:tplc="C766513A">
      <w:start w:val="1"/>
      <w:numFmt w:val="decimal"/>
      <w:lvlText w:val="%1."/>
      <w:lvlJc w:val="left"/>
      <w:pPr>
        <w:ind w:left="420" w:hanging="360"/>
      </w:pPr>
      <w:rPr>
        <w:rFonts w:ascii="Arial" w:hAnsi="Arial" w:cs="Arial" w:hint="default"/>
        <w:color w:val="252525"/>
        <w:sz w:val="19"/>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2C59EB"/>
    <w:rsid w:val="00011BF0"/>
    <w:rsid w:val="00046F56"/>
    <w:rsid w:val="00073ABB"/>
    <w:rsid w:val="00081FE8"/>
    <w:rsid w:val="00091521"/>
    <w:rsid w:val="0010251B"/>
    <w:rsid w:val="001276E1"/>
    <w:rsid w:val="0017450A"/>
    <w:rsid w:val="001C4DDE"/>
    <w:rsid w:val="001F33FB"/>
    <w:rsid w:val="001F694A"/>
    <w:rsid w:val="002056C9"/>
    <w:rsid w:val="00223A76"/>
    <w:rsid w:val="00267EA2"/>
    <w:rsid w:val="00271A25"/>
    <w:rsid w:val="002C1F51"/>
    <w:rsid w:val="002C59EB"/>
    <w:rsid w:val="0031672B"/>
    <w:rsid w:val="00317263"/>
    <w:rsid w:val="00376DCD"/>
    <w:rsid w:val="00386540"/>
    <w:rsid w:val="003970C3"/>
    <w:rsid w:val="003B02F7"/>
    <w:rsid w:val="00404CE5"/>
    <w:rsid w:val="004351C1"/>
    <w:rsid w:val="00436458"/>
    <w:rsid w:val="00462ECA"/>
    <w:rsid w:val="004B6799"/>
    <w:rsid w:val="00557E3E"/>
    <w:rsid w:val="005620A8"/>
    <w:rsid w:val="005A2282"/>
    <w:rsid w:val="005A3A98"/>
    <w:rsid w:val="00627D2A"/>
    <w:rsid w:val="00703DBB"/>
    <w:rsid w:val="007254F2"/>
    <w:rsid w:val="007B2B4B"/>
    <w:rsid w:val="007D6A97"/>
    <w:rsid w:val="008161C5"/>
    <w:rsid w:val="00821EA5"/>
    <w:rsid w:val="0084254D"/>
    <w:rsid w:val="008705F2"/>
    <w:rsid w:val="00883AF8"/>
    <w:rsid w:val="00892E16"/>
    <w:rsid w:val="008F11B3"/>
    <w:rsid w:val="008F4B51"/>
    <w:rsid w:val="00905029"/>
    <w:rsid w:val="009305C3"/>
    <w:rsid w:val="009707EB"/>
    <w:rsid w:val="009C08D2"/>
    <w:rsid w:val="009E5B6E"/>
    <w:rsid w:val="00A0665F"/>
    <w:rsid w:val="00AB3D62"/>
    <w:rsid w:val="00AF19E8"/>
    <w:rsid w:val="00B33116"/>
    <w:rsid w:val="00B76681"/>
    <w:rsid w:val="00BB4F07"/>
    <w:rsid w:val="00C728F9"/>
    <w:rsid w:val="00CD1AE3"/>
    <w:rsid w:val="00D04C84"/>
    <w:rsid w:val="00D10BB0"/>
    <w:rsid w:val="00D55AC3"/>
    <w:rsid w:val="00D5624F"/>
    <w:rsid w:val="00D81434"/>
    <w:rsid w:val="00DC21EB"/>
    <w:rsid w:val="00DD6D1B"/>
    <w:rsid w:val="00DE6E0E"/>
    <w:rsid w:val="00E76E82"/>
    <w:rsid w:val="00E80B5E"/>
    <w:rsid w:val="00EA0305"/>
    <w:rsid w:val="00EB5310"/>
    <w:rsid w:val="00EC5705"/>
    <w:rsid w:val="00F20403"/>
    <w:rsid w:val="00FF5F69"/>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9EB"/>
    <w:pPr>
      <w:spacing w:after="0" w:line="240" w:lineRule="auto"/>
    </w:pPr>
  </w:style>
  <w:style w:type="table" w:styleId="TableGrid">
    <w:name w:val="Table Grid"/>
    <w:basedOn w:val="TableNormal"/>
    <w:uiPriority w:val="59"/>
    <w:rsid w:val="004B67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0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305"/>
    <w:rPr>
      <w:rFonts w:ascii="Tahoma" w:hAnsi="Tahoma" w:cs="Tahoma"/>
      <w:sz w:val="16"/>
      <w:szCs w:val="16"/>
    </w:rPr>
  </w:style>
  <w:style w:type="character" w:styleId="Hyperlink">
    <w:name w:val="Hyperlink"/>
    <w:basedOn w:val="DefaultParagraphFont"/>
    <w:uiPriority w:val="99"/>
    <w:semiHidden/>
    <w:unhideWhenUsed/>
    <w:rsid w:val="0084254D"/>
    <w:rPr>
      <w:color w:val="0000FF"/>
      <w:u w:val="single"/>
    </w:rPr>
  </w:style>
  <w:style w:type="character" w:customStyle="1" w:styleId="apple-converted-space">
    <w:name w:val="apple-converted-space"/>
    <w:basedOn w:val="DefaultParagraphFont"/>
    <w:rsid w:val="0084254D"/>
  </w:style>
  <w:style w:type="character" w:styleId="HTMLCite">
    <w:name w:val="HTML Cite"/>
    <w:basedOn w:val="DefaultParagraphFont"/>
    <w:uiPriority w:val="99"/>
    <w:semiHidden/>
    <w:unhideWhenUsed/>
    <w:rsid w:val="00DC21EB"/>
    <w:rPr>
      <w:i/>
      <w:iCs/>
    </w:rPr>
  </w:style>
  <w:style w:type="character" w:customStyle="1" w:styleId="reference-accessdate">
    <w:name w:val="reference-accessdate"/>
    <w:basedOn w:val="DefaultParagraphFont"/>
    <w:rsid w:val="00DC21EB"/>
  </w:style>
  <w:style w:type="character" w:customStyle="1" w:styleId="nowrap">
    <w:name w:val="nowrap"/>
    <w:basedOn w:val="DefaultParagraphFont"/>
    <w:rsid w:val="00DC21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google.ca/books?id=sV6-ifUGoMYC&amp;pg=PA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dk.nih.gov/health-information/health-topics/Diabetes/hypoglycemia/Pages/index.aspx" TargetMode="External"/><Relationship Id="rId5" Type="http://schemas.openxmlformats.org/officeDocument/2006/relationships/hyperlink" Target="https://en.wikipedia.org/wiki/C_pepti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1851</TotalTime>
  <Pages>9</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sys1</dc:creator>
  <cp:keywords/>
  <dc:description/>
  <cp:lastModifiedBy>Admin</cp:lastModifiedBy>
  <cp:revision>32</cp:revision>
  <dcterms:created xsi:type="dcterms:W3CDTF">2016-06-16T05:44:00Z</dcterms:created>
  <dcterms:modified xsi:type="dcterms:W3CDTF">2016-08-16T07:52:00Z</dcterms:modified>
</cp:coreProperties>
</file>